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5.png" ContentType="image/png"/>
  <Override PartName="/word/media/image4.png" ContentType="image/png"/>
  <Override PartName="/word/media/image6.png" ContentType="image/png"/>
  <Override PartName="/word/media/image7.jpeg" ContentType="image/jpeg"/>
  <Override PartName="/word/media/image8.png" ContentType="image/png"/>
  <Override PartName="/word/media/image9.jpeg" ContentType="image/jpeg"/>
  <Override PartName="/word/media/image10.jpeg" ContentType="image/jpeg"/>
  <Override PartName="/word/media/image11.jpeg" ContentType="image/jpeg"/>
  <Override PartName="/word/media/image12.png" ContentType="image/png"/>
  <Override PartName="/word/media/image18.jpeg" ContentType="image/jpeg"/>
  <Override PartName="/word/media/image13.png" ContentType="image/png"/>
  <Override PartName="/word/media/image14.png" ContentType="image/png"/>
  <Override PartName="/word/media/image15.jpeg" ContentType="image/jpeg"/>
  <Override PartName="/word/media/image16.jpeg" ContentType="image/jpeg"/>
  <Override PartName="/word/media/image17.jpeg" ContentType="image/jpeg"/>
  <Override PartName="/word/media/image19.png" ContentType="image/png"/>
  <Override PartName="/word/media/image20.jpeg" ContentType="image/jpeg"/>
  <Override PartName="/word/media/image2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0"/>
        </w:rPr>
      </w:pPr>
      <w:r>
        <w:rPr>
          <w:sz w:val="20"/>
        </w:rPr>
      </w:r>
    </w:p>
    <w:p>
      <w:pPr>
        <w:pStyle w:val="Normal"/>
        <w:rPr>
          <w:sz w:val="20"/>
        </w:rPr>
      </w:pPr>
      <w:r>
        <w:rPr>
          <w:sz w:val="20"/>
        </w:rPr>
      </w:r>
    </w:p>
    <w:p>
      <w:pPr>
        <w:pStyle w:val="Normal"/>
        <w:rPr>
          <w:sz w:val="20"/>
        </w:rPr>
      </w:pPr>
      <w:r>
        <w:rPr>
          <w:sz w:val="20"/>
        </w:rPr>
      </w:r>
    </w:p>
    <w:p>
      <w:pPr>
        <w:pStyle w:val="Ttulo1"/>
        <w:spacing w:before="224" w:after="0"/>
        <w:ind w:left="122" w:right="2855" w:hanging="0"/>
        <w:jc w:val="center"/>
        <w:rPr>
          <w:lang w:val="es-ES"/>
        </w:rPr>
      </w:pPr>
      <w:r>
        <w:drawing>
          <wp:anchor behindDoc="1" distT="0" distB="0" distL="0" distR="0" simplePos="0" locked="0" layoutInCell="0" allowOverlap="1" relativeHeight="21">
            <wp:simplePos x="0" y="0"/>
            <wp:positionH relativeFrom="page">
              <wp:posOffset>4881880</wp:posOffset>
            </wp:positionH>
            <wp:positionV relativeFrom="paragraph">
              <wp:posOffset>-589280</wp:posOffset>
            </wp:positionV>
            <wp:extent cx="2216785" cy="155702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2216785" cy="1557020"/>
                    </a:xfrm>
                    <a:prstGeom prst="rect">
                      <a:avLst/>
                    </a:prstGeom>
                  </pic:spPr>
                </pic:pic>
              </a:graphicData>
            </a:graphic>
          </wp:anchor>
        </w:drawing>
      </w:r>
      <w:r>
        <w:rPr>
          <w:lang w:val="es-ES"/>
        </w:rPr>
        <w:t>I N F O R M A C I Ó N</w:t>
      </w:r>
    </w:p>
    <w:p>
      <w:pPr>
        <w:pStyle w:val="Cuerpodetexto"/>
        <w:spacing w:lineRule="auto" w:line="259" w:before="195" w:after="0"/>
        <w:ind w:left="549" w:right="376" w:hanging="3"/>
        <w:jc w:val="both"/>
        <w:rPr/>
      </w:pPr>
      <w:r>
        <w:rPr>
          <w:lang w:val="es-ES"/>
        </w:rPr>
        <w:t>Destinado a ciudadanos de la República de Lituania, personas con derecho a restablecer la ciudadanía de la Repúbli</w:t>
      </w:r>
      <w:bookmarkStart w:id="0" w:name="_GoBack"/>
      <w:bookmarkEnd w:id="0"/>
      <w:r>
        <w:rPr>
          <w:lang w:val="es-ES"/>
        </w:rPr>
        <w:t>ca de Lituania y personas de origen lituano y sus familiares respecto a</w:t>
      </w:r>
      <w:r>
        <w:rPr>
          <w:color w:val="111827"/>
          <w:lang w:val="es-ES"/>
        </w:rPr>
        <w:t xml:space="preserve"> la resolución adoptada por el Gobierno</w:t>
      </w:r>
      <w:r>
        <w:rPr>
          <w:lang w:val="es-ES"/>
        </w:rPr>
        <w:t xml:space="preserve"> </w:t>
      </w:r>
      <w:r>
        <w:rPr>
          <w:rStyle w:val="Destaquemayor"/>
          <w:b/>
          <w:lang w:val="es-ES"/>
        </w:rPr>
        <w:t>acerca</w:t>
      </w:r>
      <w:r>
        <w:rPr>
          <w:rStyle w:val="Destaquemayor"/>
          <w:b/>
          <w:bCs/>
          <w:color w:val="111827"/>
          <w:lang w:val="es-ES"/>
        </w:rPr>
        <w:t xml:space="preserve"> </w:t>
      </w:r>
      <w:r>
        <w:rPr>
          <w:color w:val="111827"/>
          <w:lang w:val="es-ES"/>
        </w:rPr>
        <w:t xml:space="preserve">del </w:t>
      </w:r>
      <w:r>
        <w:rPr>
          <w:i/>
          <w:color w:val="111827"/>
          <w:lang w:val="es-ES"/>
        </w:rPr>
        <w:t>reasentamiento</w:t>
      </w:r>
      <w:r>
        <w:rPr>
          <w:color w:val="111827"/>
          <w:lang w:val="es-ES"/>
        </w:rPr>
        <w:t xml:space="preserve"> </w:t>
      </w:r>
      <w:r>
        <w:rPr>
          <w:rStyle w:val="Destaquemayor"/>
          <w:b/>
          <w:bCs/>
          <w:lang w:val="es-ES"/>
        </w:rPr>
        <w:t>de personas desde</w:t>
      </w:r>
      <w:r>
        <w:rPr>
          <w:lang w:val="es-ES"/>
        </w:rPr>
        <w:t xml:space="preserve"> Ucrania a Lituania</w:t>
      </w:r>
    </w:p>
    <w:p>
      <w:pPr>
        <w:pStyle w:val="Normal"/>
        <w:spacing w:before="10" w:after="1"/>
        <w:rPr>
          <w:b/>
          <w:b/>
          <w:i/>
          <w:i/>
          <w:sz w:val="18"/>
          <w:lang w:val="es-ES"/>
        </w:rPr>
      </w:pPr>
      <w:r>
        <w:rPr>
          <w:b/>
          <w:i/>
          <w:sz w:val="18"/>
          <w:lang w:val="es-ES"/>
        </w:rPr>
      </w:r>
    </w:p>
    <w:p>
      <w:pPr>
        <w:sectPr>
          <w:type w:val="nextPage"/>
          <w:pgSz w:w="11906" w:h="16838"/>
          <w:pgMar w:left="1580" w:right="620" w:gutter="0" w:header="0" w:top="540" w:footer="0" w:bottom="280"/>
          <w:pgNumType w:fmt="decimal"/>
          <w:formProt w:val="false"/>
          <w:textDirection w:val="lrTb"/>
          <w:docGrid w:type="default" w:linePitch="100" w:charSpace="4096"/>
        </w:sectPr>
      </w:pPr>
    </w:p>
    <w:tbl>
      <w:tblPr>
        <w:tblW w:w="8733" w:type="dxa"/>
        <w:jc w:val="left"/>
        <w:tblInd w:w="138" w:type="dxa"/>
        <w:tblLayout w:type="fixed"/>
        <w:tblCellMar>
          <w:top w:w="0" w:type="dxa"/>
          <w:left w:w="7" w:type="dxa"/>
          <w:bottom w:w="0" w:type="dxa"/>
          <w:right w:w="7" w:type="dxa"/>
        </w:tblCellMar>
        <w:tblLook w:firstRow="1" w:noVBand="0" w:lastRow="1" w:firstColumn="1" w:lastColumn="1" w:noHBand="0" w:val="01e0"/>
      </w:tblPr>
      <w:tblGrid>
        <w:gridCol w:w="4032"/>
        <w:gridCol w:w="4700"/>
      </w:tblGrid>
      <w:tr>
        <w:trPr>
          <w:trHeight w:val="11400" w:hRule="atLeast"/>
        </w:trPr>
        <w:tc>
          <w:tcPr>
            <w:tcW w:w="4032" w:type="dxa"/>
            <w:tcBorders>
              <w:top w:val="double" w:sz="2" w:space="0" w:color="000000"/>
              <w:left w:val="double" w:sz="2" w:space="0" w:color="000000"/>
              <w:bottom w:val="single" w:sz="8"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8" w:after="0"/>
              <w:rPr>
                <w:b/>
                <w:b/>
                <w:i/>
                <w:i/>
                <w:lang w:val="es-ES"/>
              </w:rPr>
            </w:pPr>
            <w:r>
              <w:rPr>
                <w:b/>
                <w:i/>
                <w:lang w:val="es-ES"/>
              </w:rPr>
            </w:r>
          </w:p>
          <w:p>
            <w:pPr>
              <w:pStyle w:val="TableParagraph"/>
              <w:widowControl w:val="false"/>
              <w:ind w:left="909" w:hanging="0"/>
              <w:rPr>
                <w:lang w:val="es-ES"/>
              </w:rPr>
            </w:pPr>
            <w:r>
              <w:rPr/>
              <w:drawing>
                <wp:inline distT="0" distB="0" distL="0" distR="0">
                  <wp:extent cx="1397635" cy="124904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1397635" cy="1249045"/>
                          </a:xfrm>
                          <a:prstGeom prst="rect">
                            <a:avLst/>
                          </a:prstGeom>
                        </pic:spPr>
                      </pic:pic>
                    </a:graphicData>
                  </a:graphic>
                </wp:inline>
              </w:drawing>
            </w:r>
          </w:p>
          <w:p>
            <w:pPr>
              <w:pStyle w:val="TableParagraph"/>
              <w:widowControl w:val="false"/>
              <w:spacing w:before="7" w:after="0"/>
              <w:rPr>
                <w:b/>
                <w:b/>
                <w:i/>
                <w:i/>
                <w:sz w:val="26"/>
                <w:lang w:val="es-ES"/>
              </w:rPr>
            </w:pPr>
            <w:r>
              <w:rPr>
                <w:b/>
                <w:i/>
                <w:sz w:val="26"/>
                <w:lang w:val="es-ES"/>
              </w:rPr>
            </w:r>
          </w:p>
          <w:p>
            <w:pPr>
              <w:pStyle w:val="TableParagraph"/>
              <w:widowControl w:val="false"/>
              <w:ind w:left="865" w:hanging="0"/>
              <w:rPr>
                <w:lang w:val="es-ES"/>
              </w:rPr>
            </w:pPr>
            <w:r>
              <w:rPr>
                <w:b/>
                <w:i/>
                <w:sz w:val="28"/>
                <w:lang w:val="es-ES"/>
              </w:rPr>
              <w:t>Información general</w:t>
            </w:r>
          </w:p>
        </w:tc>
        <w:tc>
          <w:tcPr>
            <w:tcW w:w="4700" w:type="dxa"/>
            <w:tcBorders>
              <w:top w:val="double" w:sz="2" w:space="0" w:color="000000"/>
              <w:left w:val="double" w:sz="2" w:space="0" w:color="000000"/>
              <w:bottom w:val="single" w:sz="8" w:space="0" w:color="000000"/>
              <w:right w:val="double" w:sz="2" w:space="0" w:color="000000"/>
            </w:tcBorders>
          </w:tcPr>
          <w:p>
            <w:pPr>
              <w:pStyle w:val="TableParagraph"/>
              <w:widowControl w:val="false"/>
              <w:spacing w:lineRule="auto" w:line="259"/>
              <w:ind w:right="84" w:hanging="0"/>
              <w:jc w:val="both"/>
              <w:rPr/>
            </w:pPr>
            <w:r>
              <w:rPr>
                <w:i/>
                <w:lang w:val="es-ES"/>
              </w:rPr>
              <w:t xml:space="preserve">              </w:t>
            </w:r>
            <w:r>
              <w:rPr>
                <w:i/>
                <w:lang w:val="es-ES"/>
              </w:rPr>
              <w:t xml:space="preserve">El 6 de abril de 2022, el gobierno adoptó una resolución sobre el reasentamiento de personas desde Ucrania, que se encuentran afectadas por la crisis humanitaria, a Lituania. </w:t>
            </w:r>
            <w:r>
              <w:rPr>
                <w:i/>
                <w:iCs/>
                <w:lang w:val="es-ES"/>
              </w:rPr>
              <w:t xml:space="preserve">Las solicitudes </w:t>
            </w:r>
            <w:r>
              <w:rPr>
                <w:i/>
                <w:iCs/>
                <w:color w:val="111827"/>
                <w:lang w:val="es-ES"/>
              </w:rPr>
              <w:t xml:space="preserve">para </w:t>
            </w:r>
            <w:r>
              <w:rPr>
                <w:rStyle w:val="Destaquemayor"/>
                <w:b w:val="false"/>
                <w:bCs w:val="false"/>
                <w:i/>
                <w:iCs/>
                <w:lang w:val="es-ES"/>
              </w:rPr>
              <w:t xml:space="preserve">conceder la condición de reasentado </w:t>
            </w:r>
            <w:r>
              <w:rPr>
                <w:i/>
                <w:iCs/>
                <w:lang w:val="es-ES"/>
              </w:rPr>
              <w:t>podrán presentarse hasta el 31 de diciembre de 2022.</w:t>
            </w:r>
          </w:p>
          <w:p>
            <w:pPr>
              <w:pStyle w:val="TableParagraph"/>
              <w:widowControl w:val="false"/>
              <w:spacing w:lineRule="auto" w:line="259" w:before="161" w:after="0"/>
              <w:ind w:left="94" w:right="88" w:firstLine="852"/>
              <w:jc w:val="both"/>
              <w:rPr/>
            </w:pPr>
            <w:r>
              <w:rPr>
                <w:i/>
                <w:lang w:val="es-ES"/>
              </w:rPr>
              <w:t>La resolución adoptada inicia la organización del reasentamiento desde Ucrania, que se encuentra afectada por la crisis humanitaria, a Lituania de ciudadanos lituanos, personas de origen lituano, personas con derecho a restablecer la ciudadanía lituana en virtud de la Ley de ciudadanía de la República de Lituania, sus familiares y demás personas contempladas en dicha ley</w:t>
            </w:r>
            <w:r>
              <w:rPr>
                <w:i/>
                <w:iCs/>
                <w:lang w:val="es-ES"/>
              </w:rPr>
              <w:t xml:space="preserve"> para su residencia permanente en Lituania, asimismo concesión de ayudas para su</w:t>
            </w:r>
            <w:r>
              <w:rPr>
                <w:i/>
                <w:iCs/>
                <w:color w:val="111827"/>
                <w:lang w:val="es-ES"/>
              </w:rPr>
              <w:t xml:space="preserve"> reasentamiento</w:t>
            </w:r>
            <w:r>
              <w:rPr>
                <w:rStyle w:val="Destaquemayor"/>
                <w:b w:val="false"/>
                <w:bCs w:val="false"/>
                <w:i/>
                <w:iCs/>
                <w:lang w:val="es-ES"/>
              </w:rPr>
              <w:t xml:space="preserve"> e integración previstas por l</w:t>
            </w:r>
            <w:r>
              <w:rPr>
                <w:rStyle w:val="Destaquemayor"/>
                <w:b w:val="false"/>
                <w:bCs w:val="false"/>
                <w:i/>
                <w:iCs/>
                <w:color w:val="111827"/>
                <w:lang w:val="es-ES"/>
              </w:rPr>
              <w:t xml:space="preserve">a </w:t>
            </w:r>
            <w:r>
              <w:rPr>
                <w:rStyle w:val="Destaquemayor"/>
                <w:b w:val="false"/>
                <w:bCs w:val="false"/>
                <w:i/>
                <w:iCs/>
                <w:lang w:val="es-ES"/>
              </w:rPr>
              <w:t>ley</w:t>
            </w:r>
            <w:r>
              <w:rPr>
                <w:rStyle w:val="Destaquemayor"/>
                <w:b w:val="false"/>
                <w:bCs w:val="false"/>
                <w:i/>
                <w:iCs/>
                <w:color w:val="111827"/>
                <w:lang w:val="es-ES"/>
              </w:rPr>
              <w:t>.</w:t>
            </w:r>
          </w:p>
          <w:p>
            <w:pPr>
              <w:pStyle w:val="TableParagraph"/>
              <w:widowControl w:val="false"/>
              <w:spacing w:before="2" w:after="0"/>
              <w:rPr>
                <w:b/>
                <w:b/>
                <w:i/>
                <w:i/>
                <w:sz w:val="27"/>
                <w:lang w:val="es-ES"/>
              </w:rPr>
            </w:pPr>
            <w:r>
              <w:rPr>
                <w:b/>
                <w:i/>
                <w:sz w:val="27"/>
                <w:lang w:val="es-ES"/>
              </w:rPr>
            </w:r>
          </w:p>
          <w:p>
            <w:pPr>
              <w:pStyle w:val="TableParagraph"/>
              <w:widowControl w:val="false"/>
              <w:spacing w:lineRule="auto" w:line="259" w:before="1" w:after="0"/>
              <w:ind w:left="94" w:right="90" w:firstLine="852"/>
              <w:jc w:val="both"/>
              <w:rPr/>
            </w:pPr>
            <w:r>
              <w:rPr>
                <w:i/>
                <w:lang w:val="es-ES"/>
              </w:rPr>
              <w:t xml:space="preserve">Se firmará </w:t>
            </w:r>
            <w:r>
              <w:rPr>
                <w:i/>
                <w:iCs/>
                <w:lang w:val="es-ES"/>
              </w:rPr>
              <w:t xml:space="preserve">un acuerdo con las personas reasentas en Lituania sobre la prestación de ayudas para su integración. </w:t>
            </w:r>
            <w:r>
              <w:rPr>
                <w:i/>
                <w:iCs/>
                <w:color w:val="111827"/>
                <w:lang w:val="es-ES"/>
              </w:rPr>
              <w:t xml:space="preserve">Las ayudas públicas </w:t>
            </w:r>
            <w:r>
              <w:rPr>
                <w:rStyle w:val="Destaquemayor"/>
                <w:b w:val="false"/>
                <w:bCs w:val="false"/>
                <w:i/>
                <w:iCs/>
                <w:lang w:val="es-ES"/>
              </w:rPr>
              <w:t>podrán concederse de hasta</w:t>
            </w:r>
            <w:r>
              <w:rPr>
                <w:i/>
                <w:iCs/>
                <w:lang w:val="es-ES"/>
              </w:rPr>
              <w:t xml:space="preserve"> 24 meses, dependiendo de las necesidades individuales.</w:t>
            </w:r>
          </w:p>
          <w:p>
            <w:pPr>
              <w:pStyle w:val="TableParagraph"/>
              <w:widowControl w:val="false"/>
              <w:rPr>
                <w:b/>
                <w:b/>
                <w:i/>
                <w:i/>
                <w:sz w:val="27"/>
                <w:lang w:val="es-ES"/>
              </w:rPr>
            </w:pPr>
            <w:r>
              <w:rPr>
                <w:b/>
                <w:i/>
                <w:sz w:val="27"/>
                <w:lang w:val="es-ES"/>
              </w:rPr>
            </w:r>
          </w:p>
          <w:p>
            <w:pPr>
              <w:pStyle w:val="TableParagraph"/>
              <w:widowControl w:val="false"/>
              <w:spacing w:lineRule="auto" w:line="259"/>
              <w:ind w:left="94" w:right="87" w:firstLine="852"/>
              <w:jc w:val="both"/>
              <w:rPr/>
            </w:pPr>
            <w:r>
              <w:rPr>
                <w:i/>
                <w:lang w:val="es-ES"/>
              </w:rPr>
              <w:t>Las personas que se encuentran en Ucrania podrán presentar</w:t>
            </w:r>
            <w:r>
              <w:rPr>
                <w:i/>
                <w:iCs/>
                <w:lang w:val="es-ES"/>
              </w:rPr>
              <w:t xml:space="preserve"> solicitudes </w:t>
            </w:r>
            <w:r>
              <w:rPr>
                <w:i/>
                <w:iCs/>
                <w:color w:val="111827"/>
                <w:lang w:val="es-ES"/>
              </w:rPr>
              <w:t xml:space="preserve">para </w:t>
            </w:r>
            <w:r>
              <w:rPr>
                <w:rStyle w:val="Destaquemayor"/>
                <w:b w:val="false"/>
                <w:bCs w:val="false"/>
                <w:i/>
                <w:iCs/>
                <w:lang w:val="es-ES"/>
              </w:rPr>
              <w:t>concesión de la condición de reasentado</w:t>
            </w:r>
            <w:r>
              <w:rPr>
                <w:i/>
                <w:lang w:val="es-ES"/>
              </w:rPr>
              <w:t xml:space="preserve"> al Departamento de Migración dependiente del Ministerio del Interior a través de la Embajada de Lituania en Ucrania (más información por correo electrónico </w:t>
            </w:r>
            <w:hyperlink r:id="rId4">
              <w:r>
                <w:rPr>
                  <w:b/>
                  <w:i/>
                  <w:lang w:val="es-ES"/>
                </w:rPr>
                <w:t xml:space="preserve">konsulinis.ua@urm.lt </w:t>
              </w:r>
            </w:hyperlink>
            <w:r>
              <w:rPr>
                <w:b/>
                <w:i/>
                <w:lang w:val="es-ES"/>
              </w:rPr>
              <w:t>, tel. +380 (67) 924 04 42, +380 (67) 924 04 27</w:t>
            </w:r>
            <w:r>
              <w:rPr>
                <w:i/>
                <w:lang w:val="es-ES"/>
              </w:rPr>
              <w:t>).</w:t>
            </w:r>
          </w:p>
          <w:p>
            <w:pPr>
              <w:pStyle w:val="TableParagraph"/>
              <w:widowControl w:val="false"/>
              <w:ind w:left="94" w:hanging="0"/>
              <w:jc w:val="both"/>
              <w:rPr>
                <w:rFonts w:ascii="Arial;sans-serif" w:hAnsi="Arial;sans-serif"/>
                <w:b/>
                <w:b/>
                <w:color w:val="0C0C0C"/>
                <w:sz w:val="14"/>
                <w:shd w:fill="FFFCCF" w:val="clear"/>
                <w:lang w:val="es-ES"/>
              </w:rPr>
            </w:pPr>
            <w:r>
              <w:rPr>
                <w:rFonts w:ascii="Arial;sans-serif" w:hAnsi="Arial;sans-serif"/>
                <w:b/>
                <w:color w:val="0C0C0C"/>
                <w:sz w:val="14"/>
                <w:shd w:fill="FFFCCF" w:val="clear"/>
                <w:lang w:val="es-ES"/>
              </w:rPr>
            </w:r>
          </w:p>
          <w:p>
            <w:pPr>
              <w:pStyle w:val="TableParagraph"/>
              <w:widowControl w:val="false"/>
              <w:spacing w:lineRule="auto" w:line="259"/>
              <w:ind w:left="94" w:right="90" w:hanging="0"/>
              <w:jc w:val="both"/>
              <w:rPr/>
            </w:pPr>
            <w:r>
              <w:rPr>
                <w:i/>
                <w:lang w:val="es-ES"/>
              </w:rPr>
              <w:t xml:space="preserve">         </w:t>
            </w:r>
            <w:r>
              <w:rPr>
                <w:i/>
                <w:lang w:val="es-ES"/>
              </w:rPr>
              <w:t xml:space="preserve">Las personas que se encuentran en la República de Lituania y que cumplen al menos uno de los requisitos para </w:t>
            </w:r>
            <w:r>
              <w:rPr>
                <w:rStyle w:val="Destaquemayor"/>
                <w:b w:val="false"/>
                <w:bCs w:val="false"/>
                <w:i/>
                <w:iCs/>
                <w:lang w:val="es-ES"/>
              </w:rPr>
              <w:t>concesión de la condición de  reasentado</w:t>
            </w:r>
            <w:r>
              <w:rPr>
                <w:i/>
                <w:lang w:val="es-ES"/>
              </w:rPr>
              <w:t xml:space="preserve"> establecidos en el párrafo 1 del artículo 4 de la Ley de Reasentamiento de Personas a la República de Lituania y residen permanentemente en un estado extranjero o parte del mismo pueden solicitar personalmente su traslado al Departamento de Migración.</w:t>
            </w:r>
          </w:p>
        </w:tc>
      </w:tr>
    </w:tbl>
    <w:p>
      <w:pPr>
        <w:pStyle w:val="Normal"/>
        <w:rPr>
          <w:lang w:val="es-ES"/>
        </w:rPr>
      </w:pPr>
      <w:r>
        <w:rPr>
          <w:lang w:val="es-ES"/>
        </w:rPr>
      </w:r>
    </w:p>
    <w:p>
      <w:pPr>
        <w:pStyle w:val="Normal"/>
        <w:rPr/>
      </w:pPr>
      <w:r>
        <w:rPr/>
      </w:r>
    </w:p>
    <w:p>
      <w:pPr>
        <w:sectPr>
          <w:type w:val="continuous"/>
          <w:pgSz w:w="11906" w:h="16838"/>
          <w:pgMar w:left="1580" w:right="620" w:gutter="0" w:header="0" w:top="540" w:footer="0" w:bottom="280"/>
          <w:formProt w:val="false"/>
          <w:textDirection w:val="lrTb"/>
          <w:docGrid w:type="default" w:linePitch="100" w:charSpace="4096"/>
        </w:sectPr>
      </w:pPr>
    </w:p>
    <w:p>
      <w:pPr>
        <w:pStyle w:val="Normal"/>
        <w:spacing w:before="9" w:after="0"/>
        <w:rPr>
          <w:b/>
          <w:b/>
          <w:i/>
          <w:i/>
          <w:sz w:val="9"/>
          <w:lang w:val="es-ES"/>
        </w:rPr>
      </w:pPr>
      <w:r>
        <w:rPr>
          <w:b/>
          <w:i/>
          <w:sz w:val="9"/>
          <w:lang w:val="es-ES"/>
        </w:rPr>
      </w:r>
    </w:p>
    <w:tbl>
      <w:tblPr>
        <w:tblW w:w="8616" w:type="dxa"/>
        <w:jc w:val="left"/>
        <w:tblInd w:w="138" w:type="dxa"/>
        <w:tblLayout w:type="fixed"/>
        <w:tblCellMar>
          <w:top w:w="0" w:type="dxa"/>
          <w:left w:w="7" w:type="dxa"/>
          <w:bottom w:w="0" w:type="dxa"/>
          <w:right w:w="7" w:type="dxa"/>
        </w:tblCellMar>
        <w:tblLook w:firstRow="1" w:noVBand="0" w:lastRow="1" w:firstColumn="1" w:lastColumn="1" w:noHBand="0" w:val="01e0"/>
      </w:tblPr>
      <w:tblGrid>
        <w:gridCol w:w="4033"/>
        <w:gridCol w:w="4582"/>
      </w:tblGrid>
      <w:tr>
        <w:trPr>
          <w:trHeight w:val="5601" w:hRule="atLeast"/>
        </w:trPr>
        <w:tc>
          <w:tcPr>
            <w:tcW w:w="4033" w:type="dxa"/>
            <w:tcBorders>
              <w:top w:val="double" w:sz="2" w:space="0" w:color="000000"/>
              <w:left w:val="double" w:sz="2" w:space="0" w:color="000000"/>
              <w:bottom w:val="double" w:sz="2" w:space="0" w:color="000000"/>
              <w:right w:val="double" w:sz="2" w:space="0" w:color="000000"/>
            </w:tcBorders>
          </w:tcPr>
          <w:p>
            <w:pPr>
              <w:pStyle w:val="TableParagraph"/>
              <w:widowControl w:val="false"/>
              <w:rPr>
                <w:lang w:val="es-ES"/>
              </w:rPr>
            </w:pPr>
            <w:r>
              <w:rPr>
                <w:lang w:val="es-ES"/>
              </w:rPr>
            </w:r>
          </w:p>
        </w:tc>
        <w:tc>
          <w:tcPr>
            <w:tcW w:w="4582"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lineRule="auto" w:line="259" w:before="159" w:after="0"/>
              <w:ind w:left="94" w:right="89" w:firstLine="852"/>
              <w:jc w:val="both"/>
              <w:rPr>
                <w:lang w:val="es-ES"/>
              </w:rPr>
            </w:pPr>
            <w:r>
              <w:rPr>
                <w:i/>
                <w:lang w:val="es-ES"/>
              </w:rPr>
              <w:t>Cuando una persona llega a la sucursal territorial del Departamento de Migración, hay que dirigirse a las ventanillas que atienden a los ucranianos, no hay reserva para la visita, las personas serán atendidas por orden de llegada.</w:t>
            </w:r>
          </w:p>
          <w:p>
            <w:pPr>
              <w:pStyle w:val="TableParagraph"/>
              <w:widowControl w:val="false"/>
              <w:spacing w:before="5" w:after="0"/>
              <w:rPr>
                <w:b/>
                <w:b/>
                <w:i/>
                <w:i/>
                <w:sz w:val="27"/>
                <w:lang w:val="es-ES"/>
              </w:rPr>
            </w:pPr>
            <w:r>
              <w:rPr>
                <w:b/>
                <w:i/>
                <w:sz w:val="27"/>
                <w:lang w:val="es-ES"/>
              </w:rPr>
            </w:r>
          </w:p>
          <w:p>
            <w:pPr>
              <w:pStyle w:val="Normal"/>
              <w:widowControl w:val="false"/>
              <w:spacing w:lineRule="auto" w:line="259"/>
              <w:ind w:left="94" w:right="88" w:firstLine="852"/>
              <w:jc w:val="both"/>
              <w:rPr/>
            </w:pPr>
            <w:r>
              <w:rPr>
                <w:i/>
                <w:lang w:val="es-ES"/>
              </w:rPr>
              <w:t xml:space="preserve">Solicitudes para la </w:t>
            </w:r>
            <w:r>
              <w:rPr>
                <w:rStyle w:val="Destaquemayor"/>
                <w:b w:val="false"/>
                <w:bCs w:val="false"/>
                <w:i/>
                <w:iCs/>
                <w:lang w:val="es-ES"/>
              </w:rPr>
              <w:t xml:space="preserve">concesión de la condición de reasentado que refieren a los menores de edad y personas con discapacidades específicas </w:t>
            </w:r>
            <w:r>
              <w:rPr>
                <w:i/>
                <w:lang w:val="es-ES"/>
              </w:rPr>
              <w:t>se presentarán por sus representantes de conformidad con la ley.</w:t>
            </w:r>
          </w:p>
          <w:p>
            <w:pPr>
              <w:pStyle w:val="TableParagraph"/>
              <w:widowControl w:val="false"/>
              <w:rPr>
                <w:b/>
                <w:b/>
                <w:i/>
                <w:i/>
                <w:sz w:val="27"/>
                <w:lang w:val="es-ES"/>
              </w:rPr>
            </w:pPr>
            <w:r>
              <w:rPr>
                <w:b/>
                <w:i/>
                <w:sz w:val="27"/>
                <w:lang w:val="es-ES"/>
              </w:rPr>
            </w:r>
          </w:p>
          <w:p>
            <w:pPr>
              <w:pStyle w:val="TableParagraph"/>
              <w:widowControl w:val="false"/>
              <w:spacing w:lineRule="auto" w:line="259"/>
              <w:ind w:left="94" w:right="87" w:firstLine="852"/>
              <w:jc w:val="both"/>
              <w:rPr/>
            </w:pPr>
            <w:r>
              <w:rPr>
                <w:i/>
                <w:lang w:val="es-ES"/>
              </w:rPr>
              <w:t xml:space="preserve">En el proceso de presentación de las solicitudes para la </w:t>
            </w:r>
            <w:r>
              <w:rPr>
                <w:rStyle w:val="Destaquemayor"/>
                <w:b w:val="false"/>
                <w:bCs w:val="false"/>
                <w:i/>
                <w:iCs/>
                <w:lang w:val="es-ES"/>
              </w:rPr>
              <w:t>concesión de la condición de reasentado que refieren a las personas con discapacidades específicas o a los menores de</w:t>
            </w:r>
            <w:r>
              <w:rPr>
                <w:i/>
                <w:lang w:val="es-ES"/>
              </w:rPr>
              <w:t xml:space="preserve"> 12 hasta 18 años deberá encontrarse presente la persona en cuyo nombre se presenta dicha solicitud.</w:t>
            </w:r>
          </w:p>
        </w:tc>
      </w:tr>
      <w:tr>
        <w:trPr>
          <w:trHeight w:val="3035" w:hRule="atLeast"/>
        </w:trPr>
        <w:tc>
          <w:tcPr>
            <w:tcW w:w="4033"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4"/>
                <w:lang w:val="es-ES"/>
              </w:rPr>
            </w:pPr>
            <w:r>
              <w:rPr>
                <w:b/>
                <w:i/>
                <w:sz w:val="24"/>
                <w:lang w:val="es-ES"/>
              </w:rPr>
            </w:r>
          </w:p>
          <w:p>
            <w:pPr>
              <w:pStyle w:val="TableParagraph"/>
              <w:widowControl w:val="false"/>
              <w:ind w:left="984" w:hanging="0"/>
              <w:rPr>
                <w:lang w:val="es-ES"/>
              </w:rPr>
            </w:pPr>
            <w:r>
              <w:rPr/>
              <w:drawing>
                <wp:inline distT="0" distB="0" distL="0" distR="0">
                  <wp:extent cx="1306195" cy="787400"/>
                  <wp:effectExtent l="0" t="0" r="0" b="0"/>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5"/>
                          <a:stretch>
                            <a:fillRect/>
                          </a:stretch>
                        </pic:blipFill>
                        <pic:spPr bwMode="auto">
                          <a:xfrm>
                            <a:off x="0" y="0"/>
                            <a:ext cx="1306195" cy="787400"/>
                          </a:xfrm>
                          <a:prstGeom prst="rect">
                            <a:avLst/>
                          </a:prstGeom>
                        </pic:spPr>
                      </pic:pic>
                    </a:graphicData>
                  </a:graphic>
                </wp:inline>
              </w:drawing>
            </w:r>
          </w:p>
          <w:p>
            <w:pPr>
              <w:pStyle w:val="TableParagraph"/>
              <w:widowControl w:val="false"/>
              <w:spacing w:before="1" w:after="0"/>
              <w:ind w:left="129" w:right="123" w:hanging="0"/>
              <w:jc w:val="center"/>
              <w:rPr>
                <w:lang w:val="es-ES"/>
              </w:rPr>
            </w:pPr>
            <w:r>
              <w:rPr>
                <w:b/>
                <w:i/>
                <w:sz w:val="28"/>
                <w:lang w:val="es-ES"/>
              </w:rPr>
              <w:t>Permiso de residencia permanente</w:t>
            </w:r>
          </w:p>
        </w:tc>
        <w:tc>
          <w:tcPr>
            <w:tcW w:w="4582"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4" w:right="85" w:hanging="0"/>
              <w:jc w:val="both"/>
              <w:rPr/>
            </w:pPr>
            <w:r>
              <w:rPr>
                <w:i/>
                <w:lang w:val="es-ES"/>
              </w:rPr>
              <w:t xml:space="preserve">Persona que llega a la República de Lituania y recibe </w:t>
            </w:r>
            <w:r>
              <w:rPr>
                <w:rStyle w:val="Destaquemayor"/>
                <w:b w:val="false"/>
                <w:bCs w:val="false"/>
                <w:i/>
                <w:iCs/>
                <w:lang w:val="es-ES"/>
              </w:rPr>
              <w:t>la condición de reasentado</w:t>
            </w:r>
            <w:r>
              <w:rPr>
                <w:i/>
                <w:lang w:val="es-ES"/>
              </w:rPr>
              <w:t xml:space="preserve">, dentro de 1 mes a partir de la fecha de su llegada, o persona que está alojada en la República de Lituania, dentro de 1 mes a partir de la fecha de </w:t>
            </w:r>
            <w:r>
              <w:rPr>
                <w:rStyle w:val="Destaquemayor"/>
                <w:b w:val="false"/>
                <w:bCs w:val="false"/>
                <w:i/>
                <w:iCs/>
                <w:lang w:val="es-ES"/>
              </w:rPr>
              <w:t xml:space="preserve">la condición de reasentado, </w:t>
            </w:r>
            <w:r>
              <w:rPr>
                <w:i/>
                <w:lang w:val="es-ES"/>
              </w:rPr>
              <w:t>deberá solicitar al Departamento de Migración un documento que confirme o conceda el derecho a un extranjero el permiso de residencia permanente en la República de Lituania y dicha persona adquirirá  el derecho de residencia permanente en la República de Lituania para los 5 años (permiso de residencia permanente).</w:t>
            </w:r>
          </w:p>
        </w:tc>
      </w:tr>
      <w:tr>
        <w:trPr>
          <w:trHeight w:val="1909" w:hRule="atLeast"/>
        </w:trPr>
        <w:tc>
          <w:tcPr>
            <w:tcW w:w="4033"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rPr>
                <w:b/>
                <w:b/>
                <w:i/>
                <w:i/>
                <w:sz w:val="20"/>
                <w:lang w:val="es-ES"/>
              </w:rPr>
            </w:pPr>
            <w:r>
              <w:rPr>
                <w:b/>
                <w:i/>
                <w:sz w:val="20"/>
                <w:lang w:val="es-ES"/>
              </w:rPr>
            </w:r>
          </w:p>
          <w:p>
            <w:pPr>
              <w:pStyle w:val="TableParagraph"/>
              <w:widowControl w:val="false"/>
              <w:ind w:left="1578" w:hanging="0"/>
              <w:rPr>
                <w:lang w:val="es-ES"/>
              </w:rPr>
            </w:pPr>
            <w:r>
              <w:rPr/>
              <w:drawing>
                <wp:inline distT="0" distB="0" distL="0" distR="0">
                  <wp:extent cx="459105" cy="700405"/>
                  <wp:effectExtent l="0" t="0" r="0" b="0"/>
                  <wp:docPr id="4"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
                          <pic:cNvPicPr>
                            <a:picLocks noChangeAspect="1" noChangeArrowheads="1"/>
                          </pic:cNvPicPr>
                        </pic:nvPicPr>
                        <pic:blipFill>
                          <a:blip r:embed="rId6"/>
                          <a:stretch>
                            <a:fillRect/>
                          </a:stretch>
                        </pic:blipFill>
                        <pic:spPr bwMode="auto">
                          <a:xfrm>
                            <a:off x="0" y="0"/>
                            <a:ext cx="459105" cy="700405"/>
                          </a:xfrm>
                          <a:prstGeom prst="rect">
                            <a:avLst/>
                          </a:prstGeom>
                        </pic:spPr>
                      </pic:pic>
                    </a:graphicData>
                  </a:graphic>
                </wp:inline>
              </w:drawing>
            </w:r>
          </w:p>
          <w:p>
            <w:pPr>
              <w:pStyle w:val="TableParagraph"/>
              <w:widowControl w:val="false"/>
              <w:spacing w:before="11" w:after="0"/>
              <w:ind w:left="129" w:right="123" w:hanging="0"/>
              <w:jc w:val="center"/>
              <w:rPr>
                <w:lang w:val="es-ES"/>
              </w:rPr>
            </w:pPr>
            <w:r>
              <w:rPr>
                <w:b/>
                <w:i/>
                <w:sz w:val="28"/>
                <w:lang w:val="es-ES"/>
              </w:rPr>
              <w:t>Registración en el Servicio de Empleo</w:t>
            </w:r>
          </w:p>
        </w:tc>
        <w:tc>
          <w:tcPr>
            <w:tcW w:w="4582"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95" w:after="0"/>
              <w:ind w:right="87" w:hanging="0"/>
              <w:jc w:val="both"/>
              <w:rPr>
                <w:lang w:val="es-ES"/>
              </w:rPr>
            </w:pPr>
            <w:r>
              <w:rPr>
                <w:i/>
                <w:lang w:val="es-ES"/>
              </w:rPr>
              <w:t>Todos los servicios de información, asesoramiento, empleo y Política Activa del Mercado Laboral prestados por el Servicio de Empleo para los ciudadanos lituanos que llegan de Ucrania se facilitarán por teléfono 1883. Además, la información podrá consultarse por teléfono +37066110885 en ruso e inglés.</w:t>
            </w:r>
          </w:p>
        </w:tc>
      </w:tr>
    </w:tbl>
    <w:p>
      <w:pPr>
        <w:sectPr>
          <w:type w:val="nextPage"/>
          <w:pgSz w:w="11906" w:h="16838"/>
          <w:pgMar w:left="1580" w:right="620" w:gutter="0" w:header="0" w:top="1580" w:footer="0" w:bottom="280"/>
          <w:pgNumType w:fmt="decimal"/>
          <w:formProt w:val="false"/>
          <w:textDirection w:val="lrTb"/>
          <w:docGrid w:type="default" w:linePitch="100" w:charSpace="8192"/>
        </w:sectPr>
      </w:pPr>
    </w:p>
    <w:p>
      <w:pPr>
        <w:pStyle w:val="Normal"/>
        <w:spacing w:before="9" w:after="0"/>
        <w:rPr>
          <w:b/>
          <w:b/>
          <w:i/>
          <w:i/>
          <w:sz w:val="9"/>
          <w:lang w:val="es-ES"/>
        </w:rPr>
      </w:pPr>
      <w:r>
        <w:rPr>
          <w:b/>
          <w:i/>
          <w:sz w:val="9"/>
          <w:lang w:val="es-ES"/>
        </w:rPr>
      </w:r>
    </w:p>
    <w:tbl>
      <w:tblPr>
        <w:tblW w:w="8787" w:type="dxa"/>
        <w:jc w:val="left"/>
        <w:tblInd w:w="151" w:type="dxa"/>
        <w:tblLayout w:type="fixed"/>
        <w:tblCellMar>
          <w:top w:w="0" w:type="dxa"/>
          <w:left w:w="7" w:type="dxa"/>
          <w:bottom w:w="0" w:type="dxa"/>
          <w:right w:w="7" w:type="dxa"/>
        </w:tblCellMar>
        <w:tblLook w:firstRow="1" w:noVBand="0" w:lastRow="1" w:firstColumn="1" w:lastColumn="1" w:noHBand="0" w:val="01e0"/>
      </w:tblPr>
      <w:tblGrid>
        <w:gridCol w:w="4017"/>
        <w:gridCol w:w="4769"/>
      </w:tblGrid>
      <w:tr>
        <w:trPr>
          <w:trHeight w:val="11890" w:hRule="atLeast"/>
        </w:trPr>
        <w:tc>
          <w:tcPr>
            <w:tcW w:w="4017"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9" w:after="0"/>
              <w:rPr>
                <w:b/>
                <w:b/>
                <w:i/>
                <w:i/>
                <w:sz w:val="27"/>
                <w:lang w:val="es-ES"/>
              </w:rPr>
            </w:pPr>
            <w:r>
              <w:rPr>
                <w:b/>
                <w:i/>
                <w:sz w:val="27"/>
                <w:lang w:val="es-ES"/>
              </w:rPr>
            </w:r>
          </w:p>
          <w:p>
            <w:pPr>
              <w:pStyle w:val="TableParagraph"/>
              <w:widowControl w:val="false"/>
              <w:ind w:left="799" w:hanging="0"/>
              <w:rPr>
                <w:lang w:val="es-ES"/>
              </w:rPr>
            </w:pPr>
            <w:r>
              <w:rPr/>
              <w:drawing>
                <wp:inline distT="0" distB="0" distL="0" distR="0">
                  <wp:extent cx="1542415" cy="1353820"/>
                  <wp:effectExtent l="0" t="0" r="0" b="0"/>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7"/>
                          <a:stretch>
                            <a:fillRect/>
                          </a:stretch>
                        </pic:blipFill>
                        <pic:spPr bwMode="auto">
                          <a:xfrm>
                            <a:off x="0" y="0"/>
                            <a:ext cx="1542415" cy="1353820"/>
                          </a:xfrm>
                          <a:prstGeom prst="rect">
                            <a:avLst/>
                          </a:prstGeom>
                        </pic:spPr>
                      </pic:pic>
                    </a:graphicData>
                  </a:graphic>
                </wp:inline>
              </w:drawing>
            </w:r>
          </w:p>
          <w:p>
            <w:pPr>
              <w:pStyle w:val="TableParagraph"/>
              <w:widowControl w:val="false"/>
              <w:spacing w:before="9" w:after="0"/>
              <w:rPr>
                <w:b/>
                <w:b/>
                <w:i/>
                <w:i/>
                <w:sz w:val="41"/>
                <w:lang w:val="es-ES"/>
              </w:rPr>
            </w:pPr>
            <w:r>
              <w:rPr>
                <w:b/>
                <w:i/>
                <w:sz w:val="41"/>
                <w:lang w:val="es-ES"/>
              </w:rPr>
            </w:r>
          </w:p>
          <w:p>
            <w:pPr>
              <w:pStyle w:val="TableParagraph"/>
              <w:widowControl w:val="false"/>
              <w:ind w:left="119" w:right="117" w:hanging="0"/>
              <w:jc w:val="center"/>
              <w:rPr>
                <w:lang w:val="es-ES"/>
              </w:rPr>
            </w:pPr>
            <w:r>
              <w:rPr>
                <w:b/>
                <w:i/>
                <w:sz w:val="32"/>
                <w:lang w:val="es-ES"/>
              </w:rPr>
              <w:t>Documentación a aportar</w:t>
            </w:r>
          </w:p>
        </w:tc>
        <w:tc>
          <w:tcPr>
            <w:tcW w:w="4769"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153" w:hanging="0"/>
              <w:rPr/>
            </w:pPr>
            <w:r>
              <w:rPr>
                <w:i/>
                <w:sz w:val="22"/>
                <w:szCs w:val="22"/>
                <w:lang w:val="es-ES"/>
              </w:rPr>
              <w:t xml:space="preserve">Para presentar documentos referentes a la </w:t>
            </w:r>
            <w:r>
              <w:rPr>
                <w:rStyle w:val="Destaquemayor"/>
                <w:b w:val="false"/>
                <w:bCs w:val="false"/>
                <w:i/>
                <w:iCs/>
                <w:sz w:val="22"/>
                <w:szCs w:val="22"/>
                <w:lang w:val="es-ES"/>
              </w:rPr>
              <w:t>concesión de la condición de reasentado</w:t>
            </w:r>
            <w:r>
              <w:rPr>
                <w:i/>
                <w:sz w:val="22"/>
                <w:szCs w:val="22"/>
                <w:lang w:val="es-ES"/>
              </w:rPr>
              <w:t>, las personas deberán completar el Formulario de la C</w:t>
            </w:r>
            <w:r>
              <w:rPr>
                <w:rStyle w:val="Destaquemayor"/>
                <w:b w:val="false"/>
                <w:bCs w:val="false"/>
                <w:i/>
                <w:iCs/>
                <w:sz w:val="22"/>
                <w:szCs w:val="22"/>
                <w:lang w:val="es-ES"/>
              </w:rPr>
              <w:t>oncesión de la Condición de Reasentado</w:t>
            </w:r>
            <w:r>
              <w:rPr>
                <w:i/>
                <w:sz w:val="22"/>
                <w:szCs w:val="22"/>
                <w:lang w:val="es-ES"/>
              </w:rPr>
              <w:t xml:space="preserve"> en lituano o inglés, adjuntar los documentos especificados en el Artículo 10 de la Ley de Traslado de Personas a la República de Lituania.</w:t>
            </w:r>
          </w:p>
          <w:p>
            <w:pPr>
              <w:pStyle w:val="TableParagraph"/>
              <w:widowControl w:val="false"/>
              <w:ind w:left="95" w:right="153" w:hanging="0"/>
              <w:rPr/>
            </w:pPr>
            <w:r>
              <w:rPr>
                <w:i/>
                <w:sz w:val="22"/>
                <w:szCs w:val="22"/>
                <w:lang w:val="es-ES"/>
              </w:rPr>
              <w:t xml:space="preserve">La solicitud de la </w:t>
            </w:r>
            <w:r>
              <w:rPr>
                <w:rStyle w:val="Destaquemayor"/>
                <w:b w:val="false"/>
                <w:bCs w:val="false"/>
                <w:i/>
                <w:iCs/>
                <w:sz w:val="22"/>
                <w:szCs w:val="22"/>
                <w:lang w:val="es-ES"/>
              </w:rPr>
              <w:t>concesión de la condición de reasentado</w:t>
            </w:r>
            <w:r>
              <w:rPr>
                <w:i/>
                <w:sz w:val="22"/>
                <w:szCs w:val="22"/>
                <w:lang w:val="es-ES"/>
              </w:rPr>
              <w:t xml:space="preserve"> deberá ir acompañada de un documento de identidad y de los documentos que acrediten la validez de esta solicitud:</w:t>
            </w:r>
          </w:p>
          <w:p>
            <w:pPr>
              <w:pStyle w:val="TableParagraph"/>
              <w:widowControl w:val="false"/>
              <w:ind w:left="95" w:right="153" w:hanging="0"/>
              <w:rPr>
                <w:rFonts w:ascii="Times New Roman" w:hAnsi="Times New Roman"/>
                <w:i/>
                <w:i/>
                <w:sz w:val="22"/>
                <w:szCs w:val="22"/>
                <w:lang w:val="es-ES"/>
              </w:rPr>
            </w:pPr>
            <w:r>
              <w:rPr>
                <w:i/>
                <w:sz w:val="22"/>
                <w:szCs w:val="22"/>
                <w:lang w:val="es-ES"/>
              </w:rPr>
            </w:r>
          </w:p>
          <w:p>
            <w:pPr>
              <w:pStyle w:val="TableParagraph"/>
              <w:widowControl w:val="false"/>
              <w:numPr>
                <w:ilvl w:val="0"/>
                <w:numId w:val="4"/>
              </w:numPr>
              <w:tabs>
                <w:tab w:val="clear" w:pos="720"/>
                <w:tab w:val="left" w:pos="336" w:leader="none"/>
              </w:tabs>
              <w:ind w:left="95" w:right="299" w:hanging="0"/>
              <w:rPr>
                <w:lang w:val="es-ES"/>
              </w:rPr>
            </w:pPr>
            <w:r>
              <w:rPr>
                <w:i/>
                <w:lang w:val="es-ES"/>
              </w:rPr>
              <w:t xml:space="preserve">Documento que certifica la ciudadanía de la República de Lituania o </w:t>
            </w:r>
          </w:p>
          <w:p>
            <w:pPr>
              <w:pStyle w:val="TableParagraph"/>
              <w:widowControl w:val="false"/>
              <w:numPr>
                <w:ilvl w:val="0"/>
                <w:numId w:val="4"/>
              </w:numPr>
              <w:tabs>
                <w:tab w:val="clear" w:pos="720"/>
                <w:tab w:val="left" w:pos="336" w:leader="none"/>
              </w:tabs>
              <w:ind w:left="95" w:right="160" w:hanging="0"/>
              <w:rPr>
                <w:lang w:val="es-ES"/>
              </w:rPr>
            </w:pPr>
            <w:r>
              <w:rPr>
                <w:i/>
                <w:lang w:val="es-ES"/>
              </w:rPr>
              <w:t>Documento acreditativo del origen lituano emitido de acuerdo con el procedimiento establecido por el Gobierno, o documentos acreditativos del origen lituano especificados en la Ley de Ciudadanía</w:t>
            </w:r>
            <w:r>
              <w:rPr>
                <w:i/>
                <w:spacing w:val="-1"/>
                <w:lang w:val="es-ES"/>
              </w:rPr>
              <w:t xml:space="preserve"> o</w:t>
            </w:r>
          </w:p>
          <w:p>
            <w:pPr>
              <w:pStyle w:val="TableParagraph"/>
              <w:widowControl w:val="false"/>
              <w:numPr>
                <w:ilvl w:val="0"/>
                <w:numId w:val="4"/>
              </w:numPr>
              <w:tabs>
                <w:tab w:val="clear" w:pos="720"/>
                <w:tab w:val="left" w:pos="336" w:leader="none"/>
              </w:tabs>
              <w:spacing w:before="2" w:after="0"/>
              <w:ind w:left="95" w:right="241" w:hanging="0"/>
              <w:rPr>
                <w:lang w:val="es-ES"/>
              </w:rPr>
            </w:pPr>
            <w:r>
              <w:rPr>
                <w:i/>
                <w:lang w:val="es-ES"/>
              </w:rPr>
              <w:t>Documento acreditativo del derecho a restablecer la ciudadanía de la República de Lituania emitido de acuerdo con el procedimiento establecido por el Gobierno, o documentos que confirmen que una persona tiene derecho a restablecer la ciudadanía de la República de Lituania de acuerdo con los requisitos de la Ley de Ciudadanía;</w:t>
            </w:r>
          </w:p>
          <w:p>
            <w:pPr>
              <w:pStyle w:val="TableParagraph"/>
              <w:widowControl w:val="false"/>
              <w:numPr>
                <w:ilvl w:val="0"/>
                <w:numId w:val="4"/>
              </w:numPr>
              <w:tabs>
                <w:tab w:val="clear" w:pos="720"/>
                <w:tab w:val="left" w:pos="336" w:leader="none"/>
              </w:tabs>
              <w:ind w:left="95" w:right="580" w:hanging="0"/>
              <w:jc w:val="both"/>
              <w:rPr>
                <w:lang w:val="es-ES"/>
              </w:rPr>
            </w:pPr>
            <w:r>
              <w:rPr>
                <w:i/>
                <w:lang w:val="es-ES"/>
              </w:rPr>
              <w:t>Declaración en forma escrita del lugar de residencia de una persona en un estado extranjero o parte del mismo;</w:t>
            </w:r>
          </w:p>
          <w:p>
            <w:pPr>
              <w:pStyle w:val="TableParagraph"/>
              <w:widowControl w:val="false"/>
              <w:numPr>
                <w:ilvl w:val="0"/>
                <w:numId w:val="4"/>
              </w:numPr>
              <w:tabs>
                <w:tab w:val="clear" w:pos="720"/>
                <w:tab w:val="left" w:pos="336" w:leader="none"/>
              </w:tabs>
              <w:ind w:left="95" w:right="134" w:hanging="0"/>
              <w:rPr>
                <w:lang w:val="es-ES"/>
              </w:rPr>
            </w:pPr>
            <w:r>
              <w:rPr>
                <w:i/>
                <w:lang w:val="es-ES"/>
              </w:rPr>
              <w:t>Declaración en formato libre redactado por la persona donde él o ella afirma que no ha sido condenado por un delito muy grave mediante sentencia firme</w:t>
            </w:r>
          </w:p>
          <w:p>
            <w:pPr>
              <w:pStyle w:val="TableParagraph"/>
              <w:widowControl w:val="false"/>
              <w:ind w:left="95" w:right="654" w:hanging="0"/>
              <w:rPr/>
            </w:pPr>
            <w:r>
              <w:rPr>
                <w:i/>
                <w:lang w:val="es-ES"/>
              </w:rPr>
              <w:t xml:space="preserve">y después de escanearlos remitirlos a la Embajada de la República de Lituania en Ucrania, dirección: </w:t>
            </w:r>
            <w:hyperlink r:id="rId8">
              <w:r>
                <w:rPr>
                  <w:b/>
                  <w:i/>
                  <w:u w:val="thick"/>
                  <w:lang w:val="es-ES"/>
                </w:rPr>
                <w:t>konsulinis.ua@urm.lt</w:t>
              </w:r>
            </w:hyperlink>
            <w:r>
              <w:rPr>
                <w:b/>
                <w:i/>
                <w:lang w:val="es-ES"/>
              </w:rPr>
              <w:t>.</w:t>
            </w:r>
          </w:p>
          <w:p>
            <w:pPr>
              <w:pStyle w:val="TableParagraph"/>
              <w:widowControl w:val="false"/>
              <w:ind w:left="95" w:right="86" w:hanging="0"/>
              <w:rPr>
                <w:lang w:val="es-ES"/>
              </w:rPr>
            </w:pPr>
            <w:r>
              <w:rPr>
                <w:i/>
                <w:lang w:val="es-ES"/>
              </w:rPr>
              <w:t>Al recibir sus documentos, el personal de la embajada se pondrá en contacto con usted.</w:t>
            </w:r>
          </w:p>
          <w:p>
            <w:pPr>
              <w:pStyle w:val="TableParagraph"/>
              <w:widowControl w:val="false"/>
              <w:ind w:left="95" w:right="73" w:hanging="0"/>
              <w:rPr/>
            </w:pPr>
            <w:r>
              <w:rPr>
                <w:i/>
                <w:lang w:val="es-ES"/>
              </w:rPr>
              <w:t xml:space="preserve">Le recomendamos amablemente que solicite </w:t>
            </w:r>
            <w:r>
              <w:rPr>
                <w:rStyle w:val="Destaquemayor"/>
                <w:b w:val="false"/>
                <w:bCs w:val="false"/>
                <w:i/>
                <w:iCs/>
                <w:lang w:val="es-ES"/>
              </w:rPr>
              <w:t>la condición de reasentado</w:t>
            </w:r>
            <w:r>
              <w:rPr>
                <w:i/>
                <w:lang w:val="es-ES"/>
              </w:rPr>
              <w:t xml:space="preserve"> solo después de haber leído detenidamente todos los documentos adjuntos, los derechos y obligaciones del reasentado y otra información pertinente y haber tomado una decisión responsable de residir e integrarse en Lituania.</w:t>
            </w:r>
          </w:p>
          <w:p>
            <w:pPr>
              <w:pStyle w:val="TableParagraph"/>
              <w:widowControl w:val="false"/>
              <w:ind w:left="95" w:right="73" w:hanging="0"/>
              <w:rPr>
                <w:i/>
                <w:i/>
                <w:lang w:val="es-ES"/>
              </w:rPr>
            </w:pPr>
            <w:r>
              <w:rPr>
                <w:i/>
                <w:lang w:val="es-ES"/>
              </w:rPr>
            </w:r>
          </w:p>
          <w:p>
            <w:pPr>
              <w:pStyle w:val="TableParagraph"/>
              <w:widowControl w:val="false"/>
              <w:ind w:left="95" w:right="73" w:hanging="0"/>
              <w:rPr/>
            </w:pPr>
            <w:r>
              <w:rPr>
                <w:i/>
                <w:lang w:val="es-ES"/>
              </w:rPr>
              <w:t>Una persona que se encuentra en la República de Lituania y que se dirija en persona al Departamento de Migración deberá tener los documentos comprobantes la validez de su solicitud mencionado anteriormente.</w:t>
            </w:r>
          </w:p>
        </w:tc>
      </w:tr>
      <w:tr>
        <w:trPr>
          <w:trHeight w:val="2023" w:hRule="atLeast"/>
        </w:trPr>
        <w:tc>
          <w:tcPr>
            <w:tcW w:w="4017" w:type="dxa"/>
            <w:tcBorders>
              <w:top w:val="double" w:sz="2" w:space="0" w:color="000000"/>
              <w:left w:val="double" w:sz="2" w:space="0" w:color="000000"/>
              <w:bottom w:val="single" w:sz="8" w:space="0" w:color="000000"/>
              <w:right w:val="double" w:sz="2" w:space="0" w:color="000000"/>
            </w:tcBorders>
          </w:tcPr>
          <w:p>
            <w:pPr>
              <w:pStyle w:val="TableParagraph"/>
              <w:widowControl w:val="false"/>
              <w:spacing w:before="8" w:after="0"/>
              <w:rPr>
                <w:b/>
                <w:b/>
                <w:i/>
                <w:i/>
                <w:sz w:val="16"/>
                <w:lang w:val="es-ES"/>
              </w:rPr>
            </w:pPr>
            <w:r>
              <w:rPr>
                <w:b/>
                <w:i/>
                <w:sz w:val="16"/>
                <w:lang w:val="es-ES"/>
              </w:rPr>
            </w:r>
          </w:p>
          <w:p>
            <w:pPr>
              <w:pStyle w:val="TableParagraph"/>
              <w:widowControl w:val="false"/>
              <w:ind w:left="1659" w:hanging="0"/>
              <w:rPr>
                <w:lang w:val="es-ES"/>
              </w:rPr>
            </w:pPr>
            <w:r>
              <w:rPr/>
              <w:drawing>
                <wp:inline distT="0" distB="0" distL="0" distR="0">
                  <wp:extent cx="234950" cy="628650"/>
                  <wp:effectExtent l="0" t="0" r="0" b="0"/>
                  <wp:docPr id="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
                          <pic:cNvPicPr>
                            <a:picLocks noChangeAspect="1" noChangeArrowheads="1"/>
                          </pic:cNvPicPr>
                        </pic:nvPicPr>
                        <pic:blipFill>
                          <a:blip r:embed="rId9"/>
                          <a:stretch>
                            <a:fillRect/>
                          </a:stretch>
                        </pic:blipFill>
                        <pic:spPr bwMode="auto">
                          <a:xfrm>
                            <a:off x="0" y="0"/>
                            <a:ext cx="234950" cy="628650"/>
                          </a:xfrm>
                          <a:prstGeom prst="rect">
                            <a:avLst/>
                          </a:prstGeom>
                        </pic:spPr>
                      </pic:pic>
                    </a:graphicData>
                  </a:graphic>
                </wp:inline>
              </w:drawing>
            </w:r>
          </w:p>
          <w:p>
            <w:pPr>
              <w:pStyle w:val="TableParagraph"/>
              <w:widowControl w:val="false"/>
              <w:spacing w:before="151" w:after="0"/>
              <w:ind w:left="119" w:right="116" w:hanging="0"/>
              <w:jc w:val="center"/>
              <w:rPr>
                <w:lang w:val="es-ES"/>
              </w:rPr>
            </w:pPr>
            <w:r>
              <w:rPr>
                <w:b/>
                <w:i/>
                <w:sz w:val="28"/>
                <w:lang w:val="es-ES"/>
              </w:rPr>
              <w:t>Reembolso de los gastos</w:t>
            </w:r>
          </w:p>
        </w:tc>
        <w:tc>
          <w:tcPr>
            <w:tcW w:w="4769" w:type="dxa"/>
            <w:tcBorders>
              <w:top w:val="double" w:sz="2" w:space="0" w:color="000000"/>
              <w:left w:val="double" w:sz="2" w:space="0" w:color="000000"/>
              <w:bottom w:val="single" w:sz="8" w:space="0" w:color="000000"/>
              <w:right w:val="double" w:sz="2" w:space="0" w:color="000000"/>
            </w:tcBorders>
          </w:tcPr>
          <w:p>
            <w:pPr>
              <w:pStyle w:val="TableParagraph"/>
              <w:widowControl w:val="false"/>
              <w:ind w:left="95" w:right="312" w:hanging="0"/>
              <w:rPr/>
            </w:pPr>
            <w:r>
              <w:rPr>
                <w:i/>
                <w:lang w:val="es-ES"/>
              </w:rPr>
              <w:t xml:space="preserve">Tenga en cuenta que, de acuerdo con el Párrafo 5 del Artículo 8 de la Ley de Reasentamiento de Personas a la República de Lituania, si una persona que llega a Lituania decide renunciar su condición de </w:t>
            </w:r>
            <w:r>
              <w:rPr>
                <w:rStyle w:val="Destaquemayor"/>
                <w:b w:val="false"/>
                <w:bCs w:val="false"/>
                <w:i/>
                <w:iCs/>
                <w:lang w:val="es-ES"/>
              </w:rPr>
              <w:t>reasentado</w:t>
            </w:r>
            <w:r>
              <w:rPr>
                <w:i/>
                <w:lang w:val="es-ES"/>
              </w:rPr>
              <w:t xml:space="preserve">  y/o no participar en el programa de integración, </w:t>
            </w:r>
            <w:r>
              <w:rPr>
                <w:b/>
                <w:i/>
                <w:color w:val="FF0000"/>
                <w:lang w:val="es-ES"/>
              </w:rPr>
              <w:t>él/ella deberá reembolsar los gastos de su traslado a la República de Lituania.</w:t>
            </w:r>
          </w:p>
        </w:tc>
      </w:tr>
    </w:tbl>
    <w:p>
      <w:pPr>
        <w:sectPr>
          <w:type w:val="nextPage"/>
          <w:pgSz w:w="11906" w:h="16838"/>
          <w:pgMar w:left="1580" w:right="620" w:gutter="0" w:header="0" w:top="1580" w:footer="0" w:bottom="280"/>
          <w:pgNumType w:fmt="decimal"/>
          <w:formProt w:val="false"/>
          <w:textDirection w:val="lrTb"/>
          <w:docGrid w:type="default" w:linePitch="100" w:charSpace="8192"/>
        </w:sectPr>
      </w:pPr>
    </w:p>
    <w:p>
      <w:pPr>
        <w:pStyle w:val="Normal"/>
        <w:rPr>
          <w:b/>
          <w:b/>
          <w:i/>
          <w:i/>
          <w:sz w:val="20"/>
          <w:lang w:val="es-ES"/>
        </w:rPr>
      </w:pPr>
      <w:r>
        <w:rPr>
          <w:b/>
          <w:i/>
          <w:sz w:val="20"/>
          <w:lang w:val="es-ES"/>
        </w:rPr>
      </w:r>
    </w:p>
    <w:p>
      <w:pPr>
        <w:pStyle w:val="Normal"/>
        <w:spacing w:before="10" w:after="0"/>
        <w:rPr>
          <w:b/>
          <w:b/>
          <w:i/>
          <w:i/>
          <w:sz w:val="29"/>
          <w:lang w:val="es-ES"/>
        </w:rPr>
      </w:pPr>
      <w:r>
        <w:rPr>
          <w:b/>
          <w:i/>
          <w:sz w:val="29"/>
          <w:lang w:val="es-ES"/>
        </w:rPr>
      </w:r>
    </w:p>
    <w:p>
      <w:pPr>
        <w:pStyle w:val="Ttulo2"/>
        <w:rPr>
          <w:lang w:val="es-ES"/>
        </w:rPr>
      </w:pPr>
      <w:r>
        <w:drawing>
          <wp:anchor behindDoc="0" distT="0" distB="0" distL="0" distR="0" simplePos="0" locked="0" layoutInCell="0" allowOverlap="1" relativeHeight="23">
            <wp:simplePos x="0" y="0"/>
            <wp:positionH relativeFrom="page">
              <wp:posOffset>5721350</wp:posOffset>
            </wp:positionH>
            <wp:positionV relativeFrom="paragraph">
              <wp:posOffset>-355600</wp:posOffset>
            </wp:positionV>
            <wp:extent cx="596265" cy="641985"/>
            <wp:effectExtent l="0" t="0" r="0" b="0"/>
            <wp:wrapNone/>
            <wp:docPr id="7"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descr=""/>
                    <pic:cNvPicPr>
                      <a:picLocks noChangeAspect="1" noChangeArrowheads="1"/>
                    </pic:cNvPicPr>
                  </pic:nvPicPr>
                  <pic:blipFill>
                    <a:blip r:embed="rId10"/>
                    <a:stretch>
                      <a:fillRect/>
                    </a:stretch>
                  </pic:blipFill>
                  <pic:spPr bwMode="auto">
                    <a:xfrm>
                      <a:off x="0" y="0"/>
                      <a:ext cx="596265" cy="641985"/>
                    </a:xfrm>
                    <a:prstGeom prst="rect">
                      <a:avLst/>
                    </a:prstGeom>
                  </pic:spPr>
                </pic:pic>
              </a:graphicData>
            </a:graphic>
          </wp:anchor>
        </w:drawing>
      </w:r>
      <w:r>
        <w:rPr>
          <w:color w:val="111827"/>
          <w:lang w:val="es-ES"/>
        </w:rPr>
        <w:t>INFORMACIÓN SOBRE LAS GARANTÍAS SOCIALES</w:t>
      </w:r>
      <w:r>
        <w:rPr>
          <w:lang w:val="es-ES"/>
        </w:rPr>
        <w:t xml:space="preserve"> </w:t>
      </w:r>
    </w:p>
    <w:p>
      <w:pPr>
        <w:pStyle w:val="Normal"/>
        <w:rPr>
          <w:b/>
          <w:b/>
          <w:i/>
          <w:i/>
          <w:sz w:val="20"/>
          <w:lang w:val="es-ES"/>
        </w:rPr>
      </w:pPr>
      <w:r>
        <w:rPr>
          <w:b/>
          <w:i/>
          <w:sz w:val="20"/>
          <w:lang w:val="es-ES"/>
        </w:rPr>
      </w:r>
    </w:p>
    <w:p>
      <w:pPr>
        <w:pStyle w:val="Normal"/>
        <w:spacing w:before="11" w:after="0"/>
        <w:rPr>
          <w:b/>
          <w:b/>
          <w:i/>
          <w:i/>
          <w:sz w:val="24"/>
          <w:lang w:val="es-ES"/>
        </w:rPr>
      </w:pPr>
      <w:r>
        <w:rPr>
          <w:b/>
          <w:i/>
          <w:sz w:val="24"/>
          <w:lang w:val="es-ES"/>
        </w:rPr>
      </w:r>
    </w:p>
    <w:tbl>
      <w:tblPr>
        <w:tblW w:w="8893" w:type="dxa"/>
        <w:jc w:val="left"/>
        <w:tblInd w:w="-107" w:type="dxa"/>
        <w:tblLayout w:type="fixed"/>
        <w:tblCellMar>
          <w:top w:w="0" w:type="dxa"/>
          <w:left w:w="7" w:type="dxa"/>
          <w:bottom w:w="0" w:type="dxa"/>
          <w:right w:w="7" w:type="dxa"/>
        </w:tblCellMar>
        <w:tblLook w:firstRow="1" w:noVBand="0" w:lastRow="1" w:firstColumn="1" w:lastColumn="1" w:noHBand="0" w:val="01e0"/>
      </w:tblPr>
      <w:tblGrid>
        <w:gridCol w:w="3228"/>
        <w:gridCol w:w="1979"/>
        <w:gridCol w:w="2136"/>
        <w:gridCol w:w="1549"/>
      </w:tblGrid>
      <w:tr>
        <w:trPr>
          <w:trHeight w:val="2276"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rPr>
                <w:b/>
                <w:b/>
                <w:i/>
                <w:i/>
                <w:sz w:val="24"/>
                <w:lang w:val="es-ES"/>
              </w:rPr>
            </w:pPr>
            <w:r>
              <w:rPr>
                <w:b/>
                <w:i/>
                <w:sz w:val="24"/>
                <w:lang w:val="es-ES"/>
              </w:rPr>
            </w:r>
          </w:p>
          <w:p>
            <w:pPr>
              <w:pStyle w:val="TableParagraph"/>
              <w:widowControl w:val="false"/>
              <w:rPr>
                <w:b/>
                <w:b/>
                <w:i/>
                <w:i/>
                <w:sz w:val="24"/>
                <w:lang w:val="es-ES"/>
              </w:rPr>
            </w:pPr>
            <w:r>
              <w:rPr>
                <w:b/>
                <w:i/>
                <w:sz w:val="24"/>
                <w:lang w:val="es-ES"/>
              </w:rPr>
            </w:r>
          </w:p>
          <w:p>
            <w:pPr>
              <w:pStyle w:val="TableParagraph"/>
              <w:widowControl w:val="false"/>
              <w:spacing w:before="183" w:after="0"/>
              <w:ind w:left="97" w:hanging="0"/>
              <w:rPr>
                <w:lang w:val="es-ES"/>
              </w:rPr>
            </w:pPr>
            <w:r>
              <w:rPr>
                <w:b/>
                <w:i/>
                <w:lang w:val="es-ES"/>
              </w:rPr>
              <w:t>Servicio, garantía social</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171" w:hanging="0"/>
              <w:rPr/>
            </w:pPr>
            <w:r>
              <w:rPr>
                <w:b/>
                <w:i/>
                <w:color w:val="FF0000"/>
                <w:lang w:val="es-ES"/>
              </w:rPr>
              <w:t xml:space="preserve">Después de otorgar la </w:t>
            </w:r>
            <w:r>
              <w:rPr>
                <w:b/>
                <w:bCs/>
                <w:i/>
                <w:color w:val="FF0000"/>
                <w:lang w:val="es-ES"/>
              </w:rPr>
              <w:t xml:space="preserve">condición de </w:t>
            </w:r>
            <w:r>
              <w:rPr>
                <w:rStyle w:val="Destaquemayor"/>
                <w:i/>
                <w:iCs/>
                <w:color w:val="FF0000"/>
                <w:lang w:val="es-ES"/>
              </w:rPr>
              <w:t>reasentado</w:t>
            </w:r>
            <w:r>
              <w:rPr>
                <w:b/>
                <w:i/>
                <w:color w:val="FF0000"/>
                <w:lang w:val="es-ES"/>
              </w:rPr>
              <w:t xml:space="preserve"> (al llegar a Lituania, se expide un permiso de residencia permanente)</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8" w:right="107" w:hanging="0"/>
              <w:rPr/>
            </w:pPr>
            <w:r>
              <w:rPr>
                <w:b/>
                <w:i/>
                <w:lang w:val="es-ES"/>
              </w:rPr>
              <w:t xml:space="preserve">A partir de la fecha de expedición del permiso de residencia temporal </w:t>
            </w:r>
            <w:r>
              <w:rPr>
                <w:rStyle w:val="Destaquemayor"/>
                <w:i/>
                <w:lang w:val="es-ES"/>
              </w:rPr>
              <w:t>concedido</w:t>
            </w:r>
            <w:r>
              <w:rPr>
                <w:rStyle w:val="Destaquemayor"/>
                <w:i/>
                <w:color w:val="111827"/>
                <w:lang w:val="es-ES"/>
              </w:rPr>
              <w:t xml:space="preserve"> por </w:t>
            </w:r>
            <w:r>
              <w:rPr>
                <w:rStyle w:val="Destaquemayor"/>
                <w:i/>
                <w:color w:val="111827"/>
                <w:u w:val="single"/>
                <w:lang w:val="es-ES"/>
              </w:rPr>
              <w:t>r</w:t>
            </w:r>
            <w:r>
              <w:rPr>
                <w:rStyle w:val="Destaquemayor"/>
                <w:i/>
                <w:u w:val="single"/>
                <w:lang w:val="es-ES"/>
              </w:rPr>
              <w:t>azones humanitarias</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6" w:right="133" w:hanging="0"/>
              <w:rPr>
                <w:lang w:val="es-ES"/>
              </w:rPr>
            </w:pPr>
            <w:r>
              <w:rPr>
                <w:b/>
                <w:i/>
                <w:lang w:val="es-ES"/>
              </w:rPr>
              <w:t xml:space="preserve">A partir de la fecha de expedición del permiso de residencia temporal  bajo </w:t>
            </w:r>
            <w:r>
              <w:rPr>
                <w:b/>
                <w:i/>
                <w:u w:val="single"/>
                <w:lang w:val="es-ES"/>
              </w:rPr>
              <w:t>protección temporal</w:t>
            </w:r>
          </w:p>
        </w:tc>
      </w:tr>
      <w:tr>
        <w:trPr>
          <w:trHeight w:val="690"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3" w:after="0"/>
              <w:ind w:left="97" w:right="-15" w:hanging="0"/>
              <w:rPr>
                <w:lang w:val="es-ES"/>
              </w:rPr>
            </w:pPr>
            <w:r>
              <w:rPr>
                <w:i/>
                <w:sz w:val="20"/>
                <w:lang w:val="es-ES"/>
              </w:rPr>
              <w:t>Reembolso de los gastos incurridos en la tramitación de documentos (traducción y legalización de documentos)</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8" w:after="0"/>
              <w:rPr>
                <w:b/>
                <w:b/>
                <w:i/>
                <w:i/>
                <w:lang w:val="es-ES"/>
              </w:rPr>
            </w:pPr>
            <w:r>
              <w:rPr>
                <w:b/>
                <w:i/>
                <w:lang w:val="es-ES"/>
              </w:rPr>
            </w:r>
          </w:p>
          <w:p>
            <w:pPr>
              <w:pStyle w:val="TableParagraph"/>
              <w:widowControl w:val="false"/>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r>
      <w:tr>
        <w:trPr>
          <w:trHeight w:val="253"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hanging="0"/>
              <w:rPr>
                <w:lang w:val="es-ES"/>
              </w:rPr>
            </w:pPr>
            <w:r>
              <w:rPr>
                <w:i/>
                <w:sz w:val="20"/>
                <w:lang w:val="es-ES"/>
              </w:rPr>
              <w:t>Reembolso de los gastos de traslado</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8" w:after="0"/>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single" w:sz="4"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single" w:sz="4" w:space="0" w:color="000000"/>
              <w:bottom w:val="double" w:sz="2" w:space="0" w:color="000000"/>
              <w:right w:val="double" w:sz="2" w:space="0" w:color="000000"/>
            </w:tcBorders>
          </w:tcPr>
          <w:p>
            <w:pPr>
              <w:pStyle w:val="TableParagraph"/>
              <w:widowControl w:val="false"/>
              <w:rPr>
                <w:sz w:val="18"/>
                <w:lang w:val="es-ES"/>
              </w:rPr>
            </w:pPr>
            <w:r>
              <w:rPr>
                <w:sz w:val="18"/>
                <w:lang w:val="es-ES"/>
              </w:rPr>
            </w:r>
          </w:p>
        </w:tc>
      </w:tr>
      <w:tr>
        <w:trPr>
          <w:trHeight w:val="1266"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ind w:left="97" w:hanging="0"/>
              <w:rPr>
                <w:lang w:val="es-ES"/>
              </w:rPr>
            </w:pPr>
            <w:r>
              <w:rPr>
                <w:i/>
                <w:sz w:val="20"/>
                <w:lang w:val="es-ES"/>
              </w:rPr>
              <w:t>Reembolso de los gastos incurridos por el transporte de bienes</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auto" w:line="240" w:before="8" w:after="0"/>
              <w:ind w:left="306" w:right="301" w:firstLine="672"/>
              <w:rPr>
                <w:lang w:val="es-ES"/>
              </w:rPr>
            </w:pPr>
            <w:r>
              <w:rPr>
                <w:rFonts w:ascii="Wingdings" w:hAnsi="Wingdings"/>
                <w:lang w:val="es-ES"/>
              </w:rPr>
              <w:t></w:t>
            </w:r>
          </w:p>
          <w:p>
            <w:pPr>
              <w:pStyle w:val="TableParagraph"/>
              <w:widowControl w:val="false"/>
              <w:spacing w:lineRule="auto" w:line="240" w:before="8" w:after="0"/>
              <w:ind w:right="301" w:hanging="0"/>
              <w:rPr/>
            </w:pPr>
            <w:r>
              <w:rPr>
                <w:b/>
                <w:lang w:val="es-ES"/>
              </w:rPr>
              <w:t xml:space="preserve">(Cuando es imposible transportar los bienes, </w:t>
            </w:r>
            <w:r>
              <w:rPr>
                <w:rStyle w:val="Destaquemayor"/>
                <w:lang w:val="es-ES"/>
              </w:rPr>
              <w:t>se concede una compensación</w:t>
            </w:r>
            <w:r>
              <w:rPr>
                <w:b/>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r>
      <w:tr>
        <w:trPr>
          <w:trHeight w:val="253"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8"/>
              <w:ind w:left="97" w:hanging="0"/>
              <w:rPr>
                <w:lang w:val="es-ES"/>
              </w:rPr>
            </w:pPr>
            <w:r>
              <w:rPr>
                <w:rStyle w:val="Destaquemayor"/>
                <w:rFonts w:eastAsia="Times New Roman" w:cs="Times New Roman"/>
                <w:b w:val="false"/>
                <w:bCs w:val="false"/>
                <w:i/>
                <w:iCs/>
                <w:sz w:val="20"/>
                <w:lang w:val="es-ES"/>
              </w:rPr>
              <w:t>Subsidio único en concepto de establecimiento</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6" w:after="0"/>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r>
      <w:tr>
        <w:trPr>
          <w:trHeight w:val="757"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right="211" w:hanging="0"/>
              <w:rPr>
                <w:lang w:val="es-ES"/>
              </w:rPr>
            </w:pPr>
            <w:r>
              <w:rPr>
                <w:i/>
                <w:sz w:val="20"/>
                <w:lang w:val="es-ES"/>
              </w:rPr>
              <w:t>Reembolso parcial del alquiler de la vivienda (todos los meses)</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6" w:after="0"/>
              <w:rPr>
                <w:b/>
                <w:b/>
                <w:i/>
                <w:i/>
                <w:sz w:val="20"/>
                <w:lang w:val="es-ES"/>
              </w:rPr>
            </w:pPr>
            <w:r>
              <w:rPr>
                <w:b/>
                <w:i/>
                <w:sz w:val="20"/>
                <w:lang w:val="es-ES"/>
              </w:rPr>
            </w:r>
          </w:p>
          <w:p>
            <w:pPr>
              <w:pStyle w:val="TableParagraph"/>
              <w:widowControl w:val="false"/>
              <w:spacing w:lineRule="exact" w:line="225"/>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r>
      <w:tr>
        <w:trPr>
          <w:trHeight w:val="507"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2" w:after="0"/>
              <w:ind w:left="97" w:right="167" w:hanging="0"/>
              <w:rPr>
                <w:lang w:val="es-ES"/>
              </w:rPr>
            </w:pPr>
            <w:r>
              <w:rPr>
                <w:i/>
                <w:sz w:val="20"/>
                <w:lang w:val="es-ES"/>
              </w:rPr>
              <w:t>Apoyo a la integración (hasta los 24 meses)(ayuda financiera hasta los 18 meses)</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7" w:after="0"/>
              <w:rPr>
                <w:b/>
                <w:b/>
                <w:i/>
                <w:i/>
                <w:lang w:val="es-ES"/>
              </w:rPr>
            </w:pPr>
            <w:r>
              <w:rPr>
                <w:b/>
                <w:i/>
                <w:lang w:val="es-ES"/>
              </w:rPr>
            </w:r>
          </w:p>
          <w:p>
            <w:pPr>
              <w:pStyle w:val="TableParagraph"/>
              <w:widowControl w:val="false"/>
              <w:spacing w:lineRule="exact" w:line="228"/>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r>
      <w:tr>
        <w:trPr>
          <w:trHeight w:val="459"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before="2" w:after="0"/>
              <w:ind w:left="97" w:right="922" w:hanging="0"/>
              <w:rPr>
                <w:lang w:val="es-ES"/>
              </w:rPr>
            </w:pPr>
            <w:r>
              <w:rPr>
                <w:i/>
                <w:sz w:val="20"/>
                <w:lang w:val="es-ES"/>
              </w:rPr>
              <w:t>Alojamiento gratuito en la vivienda ofrecida</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581" w:hanging="0"/>
              <w:jc w:val="right"/>
              <w:rPr>
                <w:lang w:val="es-ES"/>
              </w:rPr>
            </w:pPr>
            <w:r>
              <w:rPr>
                <w:rFonts w:ascii="Wingdings" w:hAnsi="Wingdings"/>
                <w:lang w:val="es-ES"/>
              </w:rPr>
              <w:t></w:t>
            </w:r>
          </w:p>
        </w:tc>
      </w:tr>
      <w:tr>
        <w:trPr>
          <w:trHeight w:val="916"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8" w:before="2" w:after="0"/>
              <w:ind w:left="97" w:right="11" w:hanging="0"/>
              <w:rPr>
                <w:lang w:val="es-ES"/>
              </w:rPr>
            </w:pPr>
            <w:r>
              <w:rPr>
                <w:i/>
                <w:sz w:val="20"/>
                <w:lang w:val="es-ES"/>
              </w:rPr>
              <w:t>Trabajar sin un permiso de trabajo o una decisión sobre correspondencia  de las aptitudes de una persona extranjera con las demandas del mercado laboral, documentación que expide el Servicio de Empleo</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4" w:after="0"/>
              <w:rPr>
                <w:b/>
                <w:b/>
                <w:i/>
                <w:i/>
                <w:sz w:val="20"/>
                <w:lang w:val="es-ES"/>
              </w:rPr>
            </w:pPr>
            <w:r>
              <w:rPr>
                <w:b/>
                <w:i/>
                <w:sz w:val="20"/>
                <w:lang w:val="es-ES"/>
              </w:rPr>
            </w:r>
          </w:p>
          <w:p>
            <w:pPr>
              <w:pStyle w:val="TableParagraph"/>
              <w:widowControl w:val="false"/>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4" w:after="0"/>
              <w:rPr>
                <w:b/>
                <w:b/>
                <w:i/>
                <w:i/>
                <w:sz w:val="20"/>
                <w:lang w:val="es-ES"/>
              </w:rPr>
            </w:pPr>
            <w:r>
              <w:rPr>
                <w:b/>
                <w:i/>
                <w:sz w:val="20"/>
                <w:lang w:val="es-ES"/>
              </w:rPr>
            </w:r>
          </w:p>
          <w:p>
            <w:pPr>
              <w:pStyle w:val="TableParagraph"/>
              <w:widowControl w:val="false"/>
              <w:ind w:right="867" w:hanging="0"/>
              <w:jc w:val="right"/>
              <w:rPr>
                <w:lang w:val="es-ES"/>
              </w:rPr>
            </w:pPr>
            <w:r>
              <w:rPr>
                <w:rFonts w:ascii="Wingdings" w:hAnsi="Wingdings"/>
                <w:lang w:val="es-ES"/>
              </w:rPr>
              <w:t></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4" w:after="0"/>
              <w:rPr>
                <w:b/>
                <w:b/>
                <w:i/>
                <w:i/>
                <w:sz w:val="20"/>
                <w:lang w:val="es-ES"/>
              </w:rPr>
            </w:pPr>
            <w:r>
              <w:rPr>
                <w:b/>
                <w:i/>
                <w:sz w:val="20"/>
                <w:lang w:val="es-ES"/>
              </w:rPr>
            </w:r>
          </w:p>
          <w:p>
            <w:pPr>
              <w:pStyle w:val="TableParagraph"/>
              <w:widowControl w:val="false"/>
              <w:ind w:right="581" w:hanging="0"/>
              <w:jc w:val="right"/>
              <w:rPr>
                <w:lang w:val="es-ES"/>
              </w:rPr>
            </w:pPr>
            <w:r>
              <w:rPr>
                <w:rFonts w:ascii="Wingdings" w:hAnsi="Wingdings"/>
                <w:lang w:val="es-ES"/>
              </w:rPr>
              <w:t></w:t>
            </w:r>
          </w:p>
        </w:tc>
      </w:tr>
      <w:tr>
        <w:trPr>
          <w:trHeight w:val="251"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hanging="0"/>
              <w:rPr>
                <w:lang w:val="es-ES"/>
              </w:rPr>
            </w:pPr>
            <w:r>
              <w:rPr>
                <w:i/>
                <w:color w:val="111827"/>
                <w:sz w:val="20"/>
                <w:lang w:val="es-ES"/>
              </w:rPr>
              <w:t>Trabajar en régimen de contrato de trabajo temporal</w:t>
            </w:r>
            <w:r>
              <w:rPr>
                <w:i/>
                <w:sz w:val="20"/>
                <w:lang w:val="es-ES"/>
              </w:rPr>
              <w:t xml:space="preserve"> </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6" w:after="0"/>
              <w:ind w:right="867" w:hanging="0"/>
              <w:jc w:val="right"/>
              <w:rPr>
                <w:lang w:val="es-ES"/>
              </w:rPr>
            </w:pPr>
            <w:r>
              <w:rPr>
                <w:rFonts w:ascii="Wingdings" w:hAnsi="Wingdings"/>
                <w:lang w:val="es-ES"/>
              </w:rPr>
              <w:t></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6" w:after="0"/>
              <w:ind w:right="581" w:hanging="0"/>
              <w:jc w:val="right"/>
              <w:rPr>
                <w:lang w:val="es-ES"/>
              </w:rPr>
            </w:pPr>
            <w:r>
              <w:rPr>
                <w:rFonts w:ascii="Wingdings" w:hAnsi="Wingdings"/>
                <w:lang w:val="es-ES"/>
              </w:rPr>
              <w:t></w:t>
            </w:r>
          </w:p>
        </w:tc>
      </w:tr>
      <w:tr>
        <w:trPr>
          <w:trHeight w:val="253"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2" w:after="0"/>
              <w:ind w:left="97" w:hanging="0"/>
              <w:rPr>
                <w:lang w:val="es-ES"/>
              </w:rPr>
            </w:pPr>
            <w:r>
              <w:rPr>
                <w:i/>
                <w:sz w:val="20"/>
                <w:lang w:val="es-ES"/>
              </w:rPr>
              <w:t>Desempeñar actividad por cuenta propia</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8" w:after="0"/>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8" w:after="0"/>
              <w:ind w:right="867" w:hanging="0"/>
              <w:jc w:val="right"/>
              <w:rPr>
                <w:lang w:val="es-ES"/>
              </w:rPr>
            </w:pPr>
            <w:r>
              <w:rPr>
                <w:rFonts w:ascii="Wingdings" w:hAnsi="Wingdings"/>
                <w:lang w:val="es-ES"/>
              </w:rPr>
              <w:t></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8" w:after="0"/>
              <w:ind w:right="581" w:hanging="0"/>
              <w:jc w:val="right"/>
              <w:rPr>
                <w:lang w:val="es-ES"/>
              </w:rPr>
            </w:pPr>
            <w:r>
              <w:rPr>
                <w:rFonts w:ascii="Wingdings" w:hAnsi="Wingdings"/>
                <w:lang w:val="es-ES"/>
              </w:rPr>
              <w:t></w:t>
            </w:r>
          </w:p>
        </w:tc>
      </w:tr>
      <w:tr>
        <w:trPr>
          <w:trHeight w:val="690"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08"/>
              <w:ind w:left="97" w:hanging="0"/>
              <w:rPr/>
            </w:pPr>
            <w:r>
              <w:rPr>
                <w:i/>
                <w:sz w:val="20"/>
                <w:lang w:val="es-ES"/>
              </w:rPr>
              <w:t>Recibir los s</w:t>
            </w:r>
            <w:r>
              <w:rPr>
                <w:rStyle w:val="Destaquemayor"/>
                <w:b w:val="false"/>
                <w:bCs w:val="false"/>
                <w:i/>
                <w:sz w:val="20"/>
                <w:lang w:val="es-ES"/>
              </w:rPr>
              <w:t xml:space="preserve">ervicios destinados al mercado de trabajo </w:t>
            </w:r>
            <w:r>
              <w:rPr>
                <w:i/>
                <w:sz w:val="20"/>
                <w:lang w:val="es-ES"/>
              </w:rPr>
              <w:t xml:space="preserve"> y medidas de apoyo al empleo proporcionados por el Servicio de Empleo</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7" w:after="0"/>
              <w:rPr>
                <w:b/>
                <w:b/>
                <w:i/>
                <w:i/>
                <w:lang w:val="es-ES"/>
              </w:rPr>
            </w:pPr>
            <w:r>
              <w:rPr>
                <w:b/>
                <w:i/>
                <w:lang w:val="es-ES"/>
              </w:rPr>
            </w:r>
          </w:p>
          <w:p>
            <w:pPr>
              <w:pStyle w:val="TableParagraph"/>
              <w:widowControl w:val="false"/>
              <w:ind w:right="800" w:hanging="0"/>
              <w:jc w:val="right"/>
              <w:rPr>
                <w:lang w:val="es-ES"/>
              </w:rPr>
            </w:pPr>
            <w:r>
              <w:rPr>
                <w:rFonts w:ascii="Wingdings" w:hAnsi="Wingdings"/>
                <w:lang w:val="es-ES"/>
              </w:rPr>
              <w:t></w:t>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7" w:after="0"/>
              <w:rPr>
                <w:b/>
                <w:b/>
                <w:i/>
                <w:i/>
                <w:lang w:val="es-ES"/>
              </w:rPr>
            </w:pPr>
            <w:r>
              <w:rPr>
                <w:b/>
                <w:i/>
                <w:lang w:val="es-ES"/>
              </w:rPr>
            </w:r>
          </w:p>
          <w:p>
            <w:pPr>
              <w:pStyle w:val="TableParagraph"/>
              <w:widowControl w:val="false"/>
              <w:ind w:right="867" w:hanging="0"/>
              <w:jc w:val="right"/>
              <w:rPr>
                <w:lang w:val="es-ES"/>
              </w:rPr>
            </w:pPr>
            <w:r>
              <w:rPr>
                <w:rFonts w:ascii="Wingdings" w:hAnsi="Wingdings"/>
                <w:lang w:val="es-ES"/>
              </w:rPr>
              <w:t></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7" w:after="0"/>
              <w:rPr>
                <w:b/>
                <w:b/>
                <w:i/>
                <w:i/>
                <w:lang w:val="es-ES"/>
              </w:rPr>
            </w:pPr>
            <w:r>
              <w:rPr>
                <w:b/>
                <w:i/>
                <w:lang w:val="es-ES"/>
              </w:rPr>
            </w:r>
          </w:p>
          <w:p>
            <w:pPr>
              <w:pStyle w:val="TableParagraph"/>
              <w:widowControl w:val="false"/>
              <w:ind w:right="581" w:hanging="0"/>
              <w:jc w:val="right"/>
              <w:rPr>
                <w:lang w:val="es-ES"/>
              </w:rPr>
            </w:pPr>
            <w:r>
              <w:rPr>
                <w:rFonts w:ascii="Wingdings" w:hAnsi="Wingdings"/>
                <w:lang w:val="es-ES"/>
              </w:rPr>
              <w:t></w:t>
            </w:r>
          </w:p>
        </w:tc>
      </w:tr>
      <w:tr>
        <w:trPr>
          <w:trHeight w:val="459"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8" w:before="6" w:after="0"/>
              <w:ind w:left="97" w:right="289" w:hanging="0"/>
              <w:rPr>
                <w:lang w:val="es-ES"/>
              </w:rPr>
            </w:pPr>
            <w:r>
              <w:rPr>
                <w:i/>
                <w:sz w:val="20"/>
                <w:lang w:val="es-ES"/>
              </w:rPr>
              <w:t xml:space="preserve">No se cobran impuestos estatales </w:t>
            </w:r>
            <w:r>
              <w:rPr>
                <w:i/>
                <w:color w:val="111827"/>
                <w:sz w:val="20"/>
                <w:lang w:val="es-ES"/>
              </w:rPr>
              <w:t>por la expedición del visado nacional</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8" w:after="0"/>
              <w:ind w:right="867" w:hanging="0"/>
              <w:jc w:val="right"/>
              <w:rPr>
                <w:lang w:val="es-ES"/>
              </w:rPr>
            </w:pPr>
            <w:r>
              <w:rPr>
                <w:rFonts w:ascii="Wingdings" w:hAnsi="Wingdings"/>
                <w:lang w:val="es-ES"/>
              </w:rPr>
              <w:t></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r>
      <w:tr>
        <w:trPr>
          <w:trHeight w:val="688"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8" w:before="4" w:after="0"/>
              <w:ind w:left="97" w:right="383" w:hanging="0"/>
              <w:rPr>
                <w:lang w:val="es-ES"/>
              </w:rPr>
            </w:pPr>
            <w:r>
              <w:rPr>
                <w:i/>
                <w:sz w:val="20"/>
                <w:lang w:val="es-ES"/>
              </w:rPr>
              <w:t>Obtener un permiso de residencia temporal gratuitamente en virtud de la protección temporal</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581" w:hanging="0"/>
              <w:jc w:val="right"/>
              <w:rPr>
                <w:lang w:val="es-ES"/>
              </w:rPr>
            </w:pPr>
            <w:r>
              <w:rPr>
                <w:rFonts w:ascii="Wingdings" w:hAnsi="Wingdings"/>
                <w:lang w:val="es-ES"/>
              </w:rPr>
              <w:t></w:t>
            </w:r>
          </w:p>
        </w:tc>
      </w:tr>
      <w:tr>
        <w:trPr>
          <w:trHeight w:val="918"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08"/>
              <w:ind w:left="136" w:hanging="0"/>
              <w:rPr/>
            </w:pPr>
            <w:r>
              <w:rPr>
                <w:i/>
                <w:sz w:val="20"/>
                <w:lang w:val="es-ES"/>
              </w:rPr>
              <w:t xml:space="preserve">Exentos de la obligación de declarar la residencia </w:t>
            </w:r>
            <w:r>
              <w:rPr>
                <w:i/>
                <w:color w:val="111827"/>
                <w:sz w:val="20"/>
                <w:lang w:val="es-ES"/>
              </w:rPr>
              <w:t xml:space="preserve">cuando dicha declaración no sea </w:t>
            </w:r>
            <w:r>
              <w:rPr>
                <w:rStyle w:val="Destaquemayor"/>
                <w:b w:val="false"/>
                <w:bCs w:val="false"/>
                <w:i/>
                <w:sz w:val="20"/>
                <w:lang w:val="es-ES"/>
              </w:rPr>
              <w:t>objetivamente</w:t>
            </w:r>
            <w:r>
              <w:rPr>
                <w:rStyle w:val="Destaquemayor"/>
                <w:b w:val="false"/>
                <w:bCs w:val="false"/>
                <w:i/>
                <w:color w:val="111827"/>
                <w:sz w:val="20"/>
                <w:lang w:val="es-ES"/>
              </w:rPr>
              <w:t xml:space="preserve"> </w:t>
            </w:r>
            <w:r>
              <w:rPr>
                <w:i/>
                <w:color w:val="111827"/>
                <w:sz w:val="20"/>
                <w:lang w:val="es-ES"/>
              </w:rPr>
              <w:t>posible</w:t>
            </w:r>
            <w:r>
              <w:rPr>
                <w:i/>
                <w:sz w:val="20"/>
                <w:lang w:val="es-ES"/>
              </w:rPr>
              <w:t xml:space="preserve"> </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5" w:after="0"/>
              <w:rPr>
                <w:b/>
                <w:b/>
                <w:i/>
                <w:i/>
                <w:lang w:val="es-ES"/>
              </w:rPr>
            </w:pPr>
            <w:r>
              <w:rPr>
                <w:b/>
                <w:i/>
                <w:lang w:val="es-ES"/>
              </w:rPr>
            </w:r>
          </w:p>
          <w:p>
            <w:pPr>
              <w:pStyle w:val="TableParagraph"/>
              <w:widowControl w:val="false"/>
              <w:ind w:right="867" w:hanging="0"/>
              <w:jc w:val="right"/>
              <w:rPr>
                <w:lang w:val="es-ES"/>
              </w:rPr>
            </w:pPr>
            <w:r>
              <w:rPr>
                <w:rFonts w:ascii="Wingdings" w:hAnsi="Wingdings"/>
                <w:lang w:val="es-ES"/>
              </w:rPr>
              <w:t></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5" w:after="0"/>
              <w:rPr>
                <w:b/>
                <w:b/>
                <w:i/>
                <w:i/>
                <w:lang w:val="es-ES"/>
              </w:rPr>
            </w:pPr>
            <w:r>
              <w:rPr>
                <w:b/>
                <w:i/>
                <w:lang w:val="es-ES"/>
              </w:rPr>
            </w:r>
          </w:p>
          <w:p>
            <w:pPr>
              <w:pStyle w:val="TableParagraph"/>
              <w:widowControl w:val="false"/>
              <w:ind w:right="581" w:hanging="0"/>
              <w:jc w:val="right"/>
              <w:rPr>
                <w:lang w:val="es-ES"/>
              </w:rPr>
            </w:pPr>
            <w:r>
              <w:rPr>
                <w:rFonts w:ascii="Wingdings" w:hAnsi="Wingdings"/>
                <w:lang w:val="es-ES"/>
              </w:rPr>
              <w:t></w:t>
            </w:r>
          </w:p>
        </w:tc>
      </w:tr>
      <w:tr>
        <w:trPr>
          <w:trHeight w:val="1381" w:hRule="atLeast"/>
        </w:trPr>
        <w:tc>
          <w:tcPr>
            <w:tcW w:w="3228"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09"/>
              <w:ind w:left="136" w:hanging="0"/>
              <w:rPr>
                <w:lang w:val="es-ES"/>
              </w:rPr>
            </w:pPr>
            <w:r>
              <w:rPr>
                <w:i/>
                <w:sz w:val="20"/>
                <w:lang w:val="es-ES"/>
              </w:rPr>
              <w:t xml:space="preserve"> </w:t>
            </w:r>
            <w:r>
              <w:rPr>
                <w:i/>
                <w:sz w:val="20"/>
                <w:lang w:val="es-ES"/>
              </w:rPr>
              <w:t>A recibir asistencia médica de emergencia, seguimiento del embarazo, asistencia al parto y otros servicios sanitarios básicos de nivel I y II,</w:t>
            </w:r>
          </w:p>
        </w:tc>
        <w:tc>
          <w:tcPr>
            <w:tcW w:w="197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2136"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r>
    </w:tbl>
    <w:p>
      <w:pPr>
        <w:sectPr>
          <w:type w:val="nextPage"/>
          <w:pgSz w:w="11906" w:h="16838"/>
          <w:pgMar w:left="1580" w:right="620" w:gutter="0" w:header="0" w:top="1580" w:footer="0" w:bottom="280"/>
          <w:pgNumType w:fmt="decimal"/>
          <w:formProt w:val="false"/>
          <w:textDirection w:val="lrTb"/>
          <w:docGrid w:type="default" w:linePitch="100" w:charSpace="8192"/>
        </w:sectPr>
      </w:pPr>
    </w:p>
    <w:p>
      <w:pPr>
        <w:pStyle w:val="Normal"/>
        <w:spacing w:before="9" w:after="0"/>
        <w:rPr>
          <w:b/>
          <w:b/>
          <w:i/>
          <w:i/>
          <w:sz w:val="9"/>
          <w:lang w:val="es-ES"/>
        </w:rPr>
      </w:pPr>
      <w:r>
        <w:rPr>
          <w:b/>
          <w:i/>
          <w:sz w:val="9"/>
          <w:lang w:val="es-ES"/>
        </w:rPr>
      </w:r>
    </w:p>
    <w:tbl>
      <w:tblPr>
        <w:tblW w:w="8649" w:type="dxa"/>
        <w:jc w:val="left"/>
        <w:tblInd w:w="138" w:type="dxa"/>
        <w:tblLayout w:type="fixed"/>
        <w:tblCellMar>
          <w:top w:w="0" w:type="dxa"/>
          <w:left w:w="7" w:type="dxa"/>
          <w:bottom w:w="0" w:type="dxa"/>
          <w:right w:w="7" w:type="dxa"/>
        </w:tblCellMar>
        <w:tblLook w:firstRow="1" w:noVBand="0" w:lastRow="1" w:firstColumn="1" w:lastColumn="1" w:noHBand="0" w:val="01e0"/>
      </w:tblPr>
      <w:tblGrid>
        <w:gridCol w:w="2987"/>
        <w:gridCol w:w="1985"/>
        <w:gridCol w:w="2127"/>
        <w:gridCol w:w="1549"/>
      </w:tblGrid>
      <w:tr>
        <w:trPr>
          <w:trHeight w:val="690"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atLeast" w:line="230"/>
              <w:ind w:left="136" w:hanging="0"/>
              <w:rPr>
                <w:lang w:val="es-ES"/>
              </w:rPr>
            </w:pPr>
            <w:r>
              <w:rPr>
                <w:i/>
                <w:sz w:val="20"/>
                <w:lang w:val="es-ES"/>
              </w:rPr>
              <w:t>sin los cuales el estado de salud podría deteriorarse hasta el punto de requerir servicios de atención médica de emergencia.</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left="184" w:hanging="0"/>
              <w:jc w:val="center"/>
              <w:rPr>
                <w:lang w:val="es-ES"/>
              </w:rPr>
            </w:pPr>
            <w:r>
              <w:rPr>
                <w:rFonts w:ascii="Wingdings" w:hAnsi="Wingdings"/>
                <w:lang w:val="es-ES"/>
              </w:rPr>
              <w:t></w:t>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581" w:hanging="0"/>
              <w:jc w:val="right"/>
              <w:rPr>
                <w:lang w:val="es-ES"/>
              </w:rPr>
            </w:pPr>
            <w:r>
              <w:rPr>
                <w:rFonts w:ascii="Wingdings" w:hAnsi="Wingdings"/>
                <w:lang w:val="es-ES"/>
              </w:rPr>
              <w:t></w:t>
            </w:r>
          </w:p>
        </w:tc>
      </w:tr>
      <w:tr>
        <w:trPr>
          <w:trHeight w:val="459" w:hRule="atLeast"/>
        </w:trPr>
        <w:tc>
          <w:tcPr>
            <w:tcW w:w="2987" w:type="dxa"/>
            <w:tcBorders>
              <w:top w:val="double" w:sz="2" w:space="0" w:color="000000"/>
              <w:left w:val="double" w:sz="2" w:space="0" w:color="000000"/>
              <w:bottom w:val="double" w:sz="2" w:space="0" w:color="000000"/>
              <w:right w:val="double" w:sz="2" w:space="0" w:color="000000"/>
            </w:tcBorders>
          </w:tcPr>
          <w:p>
            <w:pPr>
              <w:pStyle w:val="Normal"/>
              <w:widowControl w:val="false"/>
              <w:spacing w:lineRule="exact" w:line="230" w:before="2" w:after="0"/>
              <w:ind w:left="97" w:right="783" w:hanging="0"/>
              <w:rPr>
                <w:lang w:val="es-ES"/>
              </w:rPr>
            </w:pPr>
            <w:r>
              <w:rPr>
                <w:i/>
                <w:sz w:val="20"/>
                <w:lang w:val="es-ES"/>
              </w:rPr>
              <w:t>Obtener medicamentos de receta</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581" w:hanging="0"/>
              <w:jc w:val="right"/>
              <w:rPr>
                <w:lang w:val="es-ES"/>
              </w:rPr>
            </w:pPr>
            <w:r>
              <w:rPr>
                <w:rFonts w:ascii="Wingdings" w:hAnsi="Wingdings"/>
                <w:lang w:val="es-ES"/>
              </w:rPr>
              <w:t></w:t>
            </w:r>
          </w:p>
        </w:tc>
      </w:tr>
      <w:tr>
        <w:trPr>
          <w:trHeight w:val="251"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ind w:left="97" w:hanging="0"/>
              <w:rPr>
                <w:lang w:val="es-ES"/>
              </w:rPr>
            </w:pPr>
            <w:r>
              <w:rPr>
                <w:i/>
                <w:sz w:val="20"/>
                <w:lang w:val="es-ES"/>
              </w:rPr>
              <w:t xml:space="preserve">Vacunación para los menores </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3"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3" w:after="0"/>
              <w:ind w:right="581" w:hanging="0"/>
              <w:jc w:val="right"/>
              <w:rPr>
                <w:lang w:val="es-ES"/>
              </w:rPr>
            </w:pPr>
            <w:r>
              <w:rPr>
                <w:rFonts w:ascii="Wingdings" w:hAnsi="Wingdings"/>
                <w:lang w:val="es-ES"/>
              </w:rPr>
              <w:t></w:t>
            </w:r>
          </w:p>
        </w:tc>
      </w:tr>
      <w:tr>
        <w:trPr>
          <w:trHeight w:val="253"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hanging="0"/>
              <w:rPr>
                <w:lang w:val="es-ES"/>
              </w:rPr>
            </w:pPr>
            <w:r>
              <w:rPr>
                <w:i/>
                <w:sz w:val="20"/>
                <w:lang w:val="es-ES"/>
              </w:rPr>
              <w:t>Vacunación de COVID para todos</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6" w:after="0"/>
              <w:ind w:right="581" w:hanging="0"/>
              <w:jc w:val="right"/>
              <w:rPr>
                <w:lang w:val="es-ES"/>
              </w:rPr>
            </w:pPr>
            <w:r>
              <w:rPr>
                <w:rFonts w:ascii="Wingdings" w:hAnsi="Wingdings"/>
                <w:lang w:val="es-ES"/>
              </w:rPr>
              <w:t></w:t>
            </w:r>
          </w:p>
        </w:tc>
      </w:tr>
      <w:tr>
        <w:trPr>
          <w:trHeight w:val="1609"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right="178" w:hanging="0"/>
              <w:rPr>
                <w:lang w:val="es-ES"/>
              </w:rPr>
            </w:pPr>
            <w:r>
              <w:rPr>
                <w:i/>
                <w:sz w:val="20"/>
                <w:lang w:val="es-ES"/>
              </w:rPr>
              <w:t>Acceso a la educación preescolar (cuando cumple 6 años en ese año calendario). Acceso a las guarderías y centros preescolares para menores de 6 años es opcional (salvo que la familia esté en grupo de riesgo social)</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rPr>
                <w:b/>
                <w:b/>
                <w:i/>
                <w:i/>
                <w:sz w:val="24"/>
                <w:lang w:val="es-ES"/>
              </w:rPr>
            </w:pPr>
            <w:r>
              <w:rPr>
                <w:b/>
                <w:i/>
                <w:sz w:val="24"/>
                <w:lang w:val="es-ES"/>
              </w:rPr>
            </w:r>
          </w:p>
          <w:p>
            <w:pPr>
              <w:pStyle w:val="TableParagraph"/>
              <w:widowControl w:val="false"/>
              <w:rPr>
                <w:b/>
                <w:b/>
                <w:i/>
                <w:i/>
                <w:sz w:val="24"/>
                <w:lang w:val="es-ES"/>
              </w:rPr>
            </w:pPr>
            <w:r>
              <w:rPr>
                <w:b/>
                <w:i/>
                <w:sz w:val="24"/>
                <w:lang w:val="es-ES"/>
              </w:rPr>
            </w:r>
          </w:p>
          <w:p>
            <w:pPr>
              <w:pStyle w:val="TableParagraph"/>
              <w:widowControl w:val="false"/>
              <w:spacing w:before="191"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rPr>
                <w:b/>
                <w:b/>
                <w:i/>
                <w:i/>
                <w:sz w:val="24"/>
                <w:lang w:val="es-ES"/>
              </w:rPr>
            </w:pPr>
            <w:r>
              <w:rPr>
                <w:b/>
                <w:i/>
                <w:sz w:val="24"/>
                <w:lang w:val="es-ES"/>
              </w:rPr>
            </w:r>
          </w:p>
          <w:p>
            <w:pPr>
              <w:pStyle w:val="TableParagraph"/>
              <w:widowControl w:val="false"/>
              <w:rPr>
                <w:b/>
                <w:b/>
                <w:i/>
                <w:i/>
                <w:sz w:val="24"/>
                <w:lang w:val="es-ES"/>
              </w:rPr>
            </w:pPr>
            <w:r>
              <w:rPr>
                <w:b/>
                <w:i/>
                <w:sz w:val="24"/>
                <w:lang w:val="es-ES"/>
              </w:rPr>
            </w:r>
          </w:p>
          <w:p>
            <w:pPr>
              <w:pStyle w:val="TableParagraph"/>
              <w:widowControl w:val="false"/>
              <w:spacing w:before="191" w:after="0"/>
              <w:ind w:right="581" w:hanging="0"/>
              <w:jc w:val="right"/>
              <w:rPr>
                <w:lang w:val="es-ES"/>
              </w:rPr>
            </w:pPr>
            <w:r>
              <w:rPr>
                <w:rFonts w:ascii="Wingdings" w:hAnsi="Wingdings"/>
                <w:lang w:val="es-ES"/>
              </w:rPr>
              <w:t></w:t>
            </w:r>
          </w:p>
        </w:tc>
      </w:tr>
      <w:tr>
        <w:trPr>
          <w:trHeight w:val="690"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atLeast" w:line="230" w:before="1" w:after="0"/>
              <w:ind w:left="97" w:right="495" w:hanging="0"/>
              <w:rPr>
                <w:lang w:val="es-ES"/>
              </w:rPr>
            </w:pPr>
            <w:r>
              <w:rPr>
                <w:i/>
                <w:sz w:val="20"/>
                <w:lang w:val="es-ES"/>
              </w:rPr>
              <w:t>Acceso a los programas de educación general en los centros/escuelas</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8" w:after="0"/>
              <w:rPr>
                <w:b/>
                <w:b/>
                <w:i/>
                <w:i/>
                <w:lang w:val="es-ES"/>
              </w:rPr>
            </w:pPr>
            <w:r>
              <w:rPr>
                <w:b/>
                <w:i/>
                <w:lang w:val="es-ES"/>
              </w:rPr>
            </w:r>
          </w:p>
          <w:p>
            <w:pPr>
              <w:pStyle w:val="TableParagraph"/>
              <w:widowControl w:val="false"/>
              <w:ind w:right="779"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8" w:after="0"/>
              <w:rPr>
                <w:b/>
                <w:b/>
                <w:i/>
                <w:i/>
                <w:lang w:val="es-ES"/>
              </w:rPr>
            </w:pPr>
            <w:r>
              <w:rPr>
                <w:b/>
                <w:i/>
                <w:lang w:val="es-ES"/>
              </w:rPr>
            </w:r>
          </w:p>
          <w:p>
            <w:pPr>
              <w:pStyle w:val="TableParagraph"/>
              <w:widowControl w:val="false"/>
              <w:ind w:right="581" w:hanging="0"/>
              <w:jc w:val="right"/>
              <w:rPr>
                <w:lang w:val="es-ES"/>
              </w:rPr>
            </w:pPr>
            <w:r>
              <w:rPr>
                <w:rFonts w:ascii="Wingdings" w:hAnsi="Wingdings"/>
                <w:lang w:val="es-ES"/>
              </w:rPr>
              <w:t></w:t>
            </w:r>
          </w:p>
        </w:tc>
      </w:tr>
      <w:tr>
        <w:trPr>
          <w:trHeight w:val="459"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before="2" w:after="0"/>
              <w:ind w:left="97" w:hanging="0"/>
              <w:rPr>
                <w:lang w:val="es-ES"/>
              </w:rPr>
            </w:pPr>
            <w:r>
              <w:rPr>
                <w:i/>
                <w:sz w:val="20"/>
                <w:lang w:val="es-ES"/>
              </w:rPr>
              <w:t>Acceso a  los programas de formación profesional</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5"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single" w:sz="4" w:space="0" w:color="000000"/>
            </w:tcBorders>
          </w:tcPr>
          <w:p>
            <w:pPr>
              <w:pStyle w:val="TableParagraph"/>
              <w:widowControl w:val="false"/>
              <w:spacing w:before="5" w:after="0"/>
              <w:ind w:right="591" w:hanging="0"/>
              <w:jc w:val="right"/>
              <w:rPr>
                <w:lang w:val="es-ES"/>
              </w:rPr>
            </w:pPr>
            <w:r>
              <w:rPr>
                <w:rFonts w:ascii="Wingdings" w:hAnsi="Wingdings"/>
                <w:lang w:val="es-ES"/>
              </w:rPr>
              <w:t></w:t>
            </w:r>
          </w:p>
        </w:tc>
      </w:tr>
      <w:tr>
        <w:trPr>
          <w:trHeight w:val="250"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ind w:left="97" w:hanging="0"/>
              <w:rPr/>
            </w:pPr>
            <w:r>
              <w:rPr>
                <w:i/>
                <w:sz w:val="20"/>
                <w:lang w:val="es-ES"/>
              </w:rPr>
              <w:t>A</w:t>
            </w:r>
            <w:r>
              <w:rPr>
                <w:rStyle w:val="Destaquemayor"/>
                <w:b w:val="false"/>
                <w:bCs w:val="false"/>
                <w:i/>
                <w:sz w:val="20"/>
                <w:lang w:val="es-ES"/>
              </w:rPr>
              <w:t>signación por hijos</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5"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single" w:sz="4" w:space="0" w:color="000000"/>
            </w:tcBorders>
          </w:tcPr>
          <w:p>
            <w:pPr>
              <w:pStyle w:val="TableParagraph"/>
              <w:widowControl w:val="false"/>
              <w:spacing w:lineRule="exact" w:line="225" w:before="5" w:after="0"/>
              <w:ind w:right="591" w:hanging="0"/>
              <w:jc w:val="right"/>
              <w:rPr>
                <w:lang w:val="es-ES"/>
              </w:rPr>
            </w:pPr>
            <w:r>
              <w:rPr>
                <w:rFonts w:ascii="Wingdings" w:hAnsi="Wingdings"/>
                <w:lang w:val="es-ES"/>
              </w:rPr>
              <w:t></w:t>
            </w:r>
          </w:p>
        </w:tc>
      </w:tr>
      <w:tr>
        <w:trPr>
          <w:trHeight w:val="920"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before="2" w:after="0"/>
              <w:ind w:left="97" w:right="111" w:hanging="0"/>
              <w:rPr/>
            </w:pPr>
            <w:r>
              <w:rPr>
                <w:i/>
                <w:sz w:val="20"/>
                <w:lang w:val="es-ES"/>
              </w:rPr>
              <w:t>P</w:t>
            </w:r>
            <w:r>
              <w:rPr>
                <w:rStyle w:val="Destaquemayor"/>
                <w:b w:val="false"/>
                <w:bCs w:val="false"/>
                <w:i/>
                <w:sz w:val="20"/>
                <w:lang w:val="es-ES"/>
              </w:rPr>
              <w:t xml:space="preserve">restaciones dinerarias </w:t>
            </w:r>
            <w:r>
              <w:rPr>
                <w:rStyle w:val="Destaquemayor"/>
                <w:b w:val="false"/>
                <w:bCs w:val="false"/>
                <w:i/>
                <w:color w:val="111827"/>
                <w:sz w:val="20"/>
                <w:lang w:val="es-ES"/>
              </w:rPr>
              <w:t xml:space="preserve">de la </w:t>
            </w:r>
            <w:r>
              <w:rPr>
                <w:rStyle w:val="Destaquemayor"/>
                <w:b w:val="false"/>
                <w:bCs w:val="false"/>
                <w:i/>
                <w:sz w:val="20"/>
                <w:lang w:val="es-ES"/>
              </w:rPr>
              <w:t>asistencia social</w:t>
            </w:r>
            <w:r>
              <w:rPr>
                <w:i/>
                <w:sz w:val="20"/>
                <w:lang w:val="es-ES"/>
              </w:rPr>
              <w:t xml:space="preserve">  (asignación social, compensación por gastos de calefacción, agua potable y agua caliente de la vivienda)</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6" w:after="0"/>
              <w:rPr>
                <w:b/>
                <w:b/>
                <w:i/>
                <w:i/>
                <w:sz w:val="20"/>
                <w:lang w:val="es-ES"/>
              </w:rPr>
            </w:pPr>
            <w:r>
              <w:rPr>
                <w:b/>
                <w:i/>
                <w:sz w:val="20"/>
                <w:lang w:val="es-ES"/>
              </w:rPr>
            </w:r>
          </w:p>
          <w:p>
            <w:pPr>
              <w:pStyle w:val="TableParagraph"/>
              <w:widowControl w:val="false"/>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6" w:after="0"/>
              <w:rPr>
                <w:b/>
                <w:b/>
                <w:i/>
                <w:i/>
                <w:sz w:val="20"/>
                <w:lang w:val="es-ES"/>
              </w:rPr>
            </w:pPr>
            <w:r>
              <w:rPr>
                <w:b/>
                <w:i/>
                <w:sz w:val="20"/>
                <w:lang w:val="es-ES"/>
              </w:rPr>
            </w:r>
          </w:p>
          <w:p>
            <w:pPr>
              <w:pStyle w:val="TableParagraph"/>
              <w:widowControl w:val="false"/>
              <w:ind w:right="581" w:hanging="0"/>
              <w:jc w:val="right"/>
              <w:rPr>
                <w:lang w:val="es-ES"/>
              </w:rPr>
            </w:pPr>
            <w:r>
              <w:rPr>
                <w:rFonts w:ascii="Wingdings" w:hAnsi="Wingdings"/>
                <w:lang w:val="es-ES"/>
              </w:rPr>
              <w:t></w:t>
            </w:r>
          </w:p>
        </w:tc>
      </w:tr>
      <w:tr>
        <w:trPr>
          <w:trHeight w:val="918"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before="1" w:after="0"/>
              <w:ind w:left="97" w:right="166" w:hanging="0"/>
              <w:rPr>
                <w:lang w:val="es-ES"/>
              </w:rPr>
            </w:pPr>
            <w:r>
              <w:rPr>
                <w:i/>
                <w:sz w:val="20"/>
                <w:lang w:val="es-ES"/>
              </w:rPr>
              <w:t>Apoyo social a los alumnos (comidas gratuitas, ayudas para la compra de material escolar al inicio del año escolar)</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4" w:after="0"/>
              <w:rPr>
                <w:b/>
                <w:b/>
                <w:i/>
                <w:i/>
                <w:sz w:val="20"/>
                <w:lang w:val="es-ES"/>
              </w:rPr>
            </w:pPr>
            <w:r>
              <w:rPr>
                <w:b/>
                <w:i/>
                <w:sz w:val="20"/>
                <w:lang w:val="es-ES"/>
              </w:rPr>
            </w:r>
          </w:p>
          <w:p>
            <w:pPr>
              <w:pStyle w:val="TableParagraph"/>
              <w:widowControl w:val="false"/>
              <w:spacing w:before="1"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4" w:after="0"/>
              <w:rPr>
                <w:b/>
                <w:b/>
                <w:i/>
                <w:i/>
                <w:sz w:val="20"/>
                <w:lang w:val="es-ES"/>
              </w:rPr>
            </w:pPr>
            <w:r>
              <w:rPr>
                <w:b/>
                <w:i/>
                <w:sz w:val="20"/>
                <w:lang w:val="es-ES"/>
              </w:rPr>
            </w:r>
          </w:p>
          <w:p>
            <w:pPr>
              <w:pStyle w:val="TableParagraph"/>
              <w:widowControl w:val="false"/>
              <w:spacing w:before="1" w:after="0"/>
              <w:ind w:right="581" w:hanging="0"/>
              <w:jc w:val="right"/>
              <w:rPr>
                <w:lang w:val="es-ES"/>
              </w:rPr>
            </w:pPr>
            <w:r>
              <w:rPr>
                <w:rFonts w:ascii="Wingdings" w:hAnsi="Wingdings"/>
                <w:lang w:val="es-ES"/>
              </w:rPr>
              <w:t></w:t>
            </w:r>
          </w:p>
        </w:tc>
      </w:tr>
      <w:tr>
        <w:trPr>
          <w:trHeight w:val="251"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8"/>
              <w:rPr/>
            </w:pPr>
            <w:r>
              <w:rPr>
                <w:rStyle w:val="Destaquemayor"/>
                <w:b w:val="false"/>
                <w:bCs w:val="false"/>
                <w:i/>
                <w:iCs/>
                <w:sz w:val="20"/>
                <w:lang w:val="es-ES"/>
              </w:rPr>
              <w:t xml:space="preserve">  </w:t>
            </w:r>
            <w:r>
              <w:rPr>
                <w:rStyle w:val="Destaquemayor"/>
                <w:rFonts w:eastAsia="Times New Roman" w:cs="Times New Roman"/>
                <w:b w:val="false"/>
                <w:bCs w:val="false"/>
                <w:i/>
                <w:iCs/>
                <w:sz w:val="20"/>
                <w:lang w:val="es-ES"/>
              </w:rPr>
              <w:t>Subsidio único en concepto de   establecimiento</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4"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4" w:after="0"/>
              <w:ind w:right="581" w:hanging="0"/>
              <w:jc w:val="right"/>
              <w:rPr>
                <w:lang w:val="es-ES"/>
              </w:rPr>
            </w:pPr>
            <w:r>
              <w:rPr>
                <w:rFonts w:ascii="Wingdings" w:hAnsi="Wingdings"/>
                <w:lang w:val="es-ES"/>
              </w:rPr>
              <w:t></w:t>
            </w:r>
          </w:p>
        </w:tc>
      </w:tr>
      <w:tr>
        <w:trPr>
          <w:trHeight w:val="452"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before="2" w:after="0"/>
              <w:ind w:left="97" w:right="928" w:hanging="0"/>
              <w:rPr>
                <w:lang w:val="es-ES"/>
              </w:rPr>
            </w:pPr>
            <w:r>
              <w:rPr>
                <w:i/>
                <w:sz w:val="20"/>
                <w:lang w:val="es-ES"/>
              </w:rPr>
              <w:t>Compensación de 6 meses por educación preescolar</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581" w:hanging="0"/>
              <w:jc w:val="right"/>
              <w:rPr>
                <w:lang w:val="es-ES"/>
              </w:rPr>
            </w:pPr>
            <w:r>
              <w:rPr>
                <w:rFonts w:ascii="Wingdings" w:hAnsi="Wingdings"/>
                <w:lang w:val="es-ES"/>
              </w:rPr>
              <w:t></w:t>
            </w:r>
          </w:p>
        </w:tc>
      </w:tr>
      <w:tr>
        <w:trPr>
          <w:trHeight w:val="442"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13"/>
              <w:ind w:left="97" w:right="211" w:hanging="0"/>
              <w:rPr>
                <w:lang w:val="es-ES"/>
              </w:rPr>
            </w:pPr>
            <w:r>
              <w:rPr>
                <w:i/>
                <w:sz w:val="20"/>
                <w:lang w:val="es-ES"/>
              </w:rPr>
              <w:t>Reembolso parcial del alquiler de la vivienda</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ind w:right="581" w:hanging="0"/>
              <w:jc w:val="right"/>
              <w:rPr>
                <w:lang w:val="es-ES"/>
              </w:rPr>
            </w:pPr>
            <w:r>
              <w:rPr>
                <w:rFonts w:ascii="Wingdings" w:hAnsi="Wingdings"/>
                <w:lang w:val="es-ES"/>
              </w:rPr>
              <w:t></w:t>
            </w:r>
          </w:p>
        </w:tc>
      </w:tr>
      <w:tr>
        <w:trPr>
          <w:trHeight w:val="243" w:hRule="atLeast"/>
        </w:trPr>
        <w:tc>
          <w:tcPr>
            <w:tcW w:w="2987" w:type="dxa"/>
            <w:tcBorders>
              <w:top w:val="double" w:sz="2" w:space="0" w:color="000000"/>
              <w:left w:val="double" w:sz="2" w:space="0" w:color="000000"/>
              <w:bottom w:val="single" w:sz="4" w:space="0" w:color="000000"/>
              <w:right w:val="double" w:sz="2" w:space="0" w:color="000000"/>
            </w:tcBorders>
          </w:tcPr>
          <w:p>
            <w:pPr>
              <w:pStyle w:val="TableParagraph"/>
              <w:widowControl w:val="false"/>
              <w:spacing w:lineRule="exact" w:line="224"/>
              <w:ind w:left="97" w:hanging="0"/>
              <w:rPr/>
            </w:pPr>
            <w:r>
              <w:rPr>
                <w:rStyle w:val="Destaquemayor"/>
                <w:b w:val="false"/>
                <w:bCs w:val="false"/>
                <w:i/>
                <w:sz w:val="20"/>
                <w:lang w:val="es-ES"/>
              </w:rPr>
              <w:t>Pensión de asistencia social</w:t>
            </w:r>
          </w:p>
        </w:tc>
        <w:tc>
          <w:tcPr>
            <w:tcW w:w="1985" w:type="dxa"/>
            <w:tcBorders>
              <w:top w:val="double" w:sz="2" w:space="0" w:color="000000"/>
              <w:left w:val="double" w:sz="2" w:space="0" w:color="000000"/>
              <w:bottom w:val="single" w:sz="4" w:space="0" w:color="000000"/>
              <w:right w:val="double" w:sz="2" w:space="0" w:color="000000"/>
            </w:tcBorders>
          </w:tcPr>
          <w:p>
            <w:pPr>
              <w:pStyle w:val="TableParagraph"/>
              <w:widowControl w:val="false"/>
              <w:spacing w:lineRule="exact" w:line="218"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single" w:sz="4" w:space="0" w:color="000000"/>
              <w:right w:val="double" w:sz="2" w:space="0" w:color="000000"/>
            </w:tcBorders>
          </w:tcPr>
          <w:p>
            <w:pPr>
              <w:pStyle w:val="TableParagraph"/>
              <w:widowControl w:val="false"/>
              <w:rPr>
                <w:sz w:val="16"/>
                <w:lang w:val="es-ES"/>
              </w:rPr>
            </w:pPr>
            <w:r>
              <w:rPr>
                <w:sz w:val="16"/>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18" w:before="6" w:after="0"/>
              <w:ind w:right="581" w:hanging="0"/>
              <w:jc w:val="right"/>
              <w:rPr>
                <w:lang w:val="es-ES"/>
              </w:rPr>
            </w:pPr>
            <w:r>
              <w:rPr>
                <w:rFonts w:ascii="Wingdings" w:hAnsi="Wingdings"/>
                <w:lang w:val="es-ES"/>
              </w:rPr>
              <w:t></w:t>
            </w:r>
          </w:p>
        </w:tc>
      </w:tr>
      <w:tr>
        <w:trPr>
          <w:trHeight w:val="262" w:hRule="atLeast"/>
        </w:trPr>
        <w:tc>
          <w:tcPr>
            <w:tcW w:w="2987" w:type="dxa"/>
            <w:tcBorders>
              <w:top w:val="single" w:sz="4" w:space="0" w:color="000000"/>
              <w:left w:val="double" w:sz="2" w:space="0" w:color="000000"/>
              <w:bottom w:val="double" w:sz="2" w:space="0" w:color="000000"/>
              <w:right w:val="double" w:sz="2" w:space="0" w:color="000000"/>
            </w:tcBorders>
          </w:tcPr>
          <w:p>
            <w:pPr>
              <w:pStyle w:val="TableParagraph"/>
              <w:widowControl w:val="false"/>
              <w:spacing w:before="9" w:after="0"/>
              <w:ind w:left="97" w:hanging="0"/>
              <w:rPr>
                <w:lang w:val="es-ES"/>
              </w:rPr>
            </w:pPr>
            <w:r>
              <w:rPr>
                <w:i/>
                <w:sz w:val="20"/>
                <w:lang w:val="es-ES"/>
              </w:rPr>
              <w:t>Servicios sociales</w:t>
            </w:r>
          </w:p>
        </w:tc>
        <w:tc>
          <w:tcPr>
            <w:tcW w:w="1985" w:type="dxa"/>
            <w:tcBorders>
              <w:top w:val="single" w:sz="4" w:space="0" w:color="000000"/>
              <w:left w:val="double" w:sz="2" w:space="0" w:color="000000"/>
              <w:bottom w:val="double" w:sz="2" w:space="0" w:color="000000"/>
              <w:right w:val="double" w:sz="2" w:space="0" w:color="000000"/>
            </w:tcBorders>
          </w:tcPr>
          <w:p>
            <w:pPr>
              <w:pStyle w:val="TableParagraph"/>
              <w:widowControl w:val="false"/>
              <w:spacing w:lineRule="exact" w:line="227" w:before="15" w:after="0"/>
              <w:ind w:right="800" w:hanging="0"/>
              <w:jc w:val="right"/>
              <w:rPr>
                <w:lang w:val="es-ES"/>
              </w:rPr>
            </w:pPr>
            <w:r>
              <w:rPr>
                <w:rFonts w:ascii="Wingdings" w:hAnsi="Wingdings"/>
                <w:lang w:val="es-ES"/>
              </w:rPr>
              <w:t></w:t>
            </w:r>
          </w:p>
        </w:tc>
        <w:tc>
          <w:tcPr>
            <w:tcW w:w="2127" w:type="dxa"/>
            <w:tcBorders>
              <w:top w:val="single" w:sz="4"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15" w:after="0"/>
              <w:ind w:right="581" w:hanging="0"/>
              <w:jc w:val="right"/>
              <w:rPr>
                <w:lang w:val="es-ES"/>
              </w:rPr>
            </w:pPr>
            <w:r>
              <w:rPr>
                <w:rFonts w:ascii="Wingdings" w:hAnsi="Wingdings"/>
                <w:lang w:val="es-ES"/>
              </w:rPr>
              <w:t></w:t>
            </w:r>
          </w:p>
        </w:tc>
      </w:tr>
      <w:tr>
        <w:trPr>
          <w:trHeight w:val="253"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hanging="0"/>
              <w:rPr>
                <w:lang w:val="es-ES"/>
              </w:rPr>
            </w:pPr>
            <w:r>
              <w:rPr>
                <w:i/>
                <w:color w:val="111827"/>
                <w:sz w:val="20"/>
                <w:lang w:val="es-ES"/>
              </w:rPr>
              <w:t>Determinación</w:t>
            </w:r>
            <w:r>
              <w:rPr>
                <w:i/>
                <w:sz w:val="20"/>
                <w:lang w:val="es-ES"/>
              </w:rPr>
              <w:t xml:space="preserve"> de la incapacidad</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6" w:after="0"/>
              <w:ind w:right="581" w:hanging="0"/>
              <w:jc w:val="right"/>
              <w:rPr>
                <w:lang w:val="es-ES"/>
              </w:rPr>
            </w:pPr>
            <w:r>
              <w:rPr>
                <w:rFonts w:ascii="Wingdings" w:hAnsi="Wingdings"/>
                <w:lang w:val="es-ES"/>
              </w:rPr>
              <w:t></w:t>
            </w:r>
          </w:p>
        </w:tc>
      </w:tr>
      <w:tr>
        <w:trPr>
          <w:trHeight w:val="459"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before="2" w:after="0"/>
              <w:ind w:left="97" w:hanging="0"/>
              <w:rPr>
                <w:lang w:val="es-ES"/>
              </w:rPr>
            </w:pPr>
            <w:r>
              <w:rPr>
                <w:i/>
                <w:sz w:val="20"/>
                <w:lang w:val="es-ES"/>
              </w:rPr>
              <w:t>Asistencia, prestaciones y servicios para discapacitados</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ind w:right="581" w:hanging="0"/>
              <w:jc w:val="right"/>
              <w:rPr>
                <w:lang w:val="es-ES"/>
              </w:rPr>
            </w:pPr>
            <w:r>
              <w:rPr>
                <w:rFonts w:ascii="Wingdings" w:hAnsi="Wingdings"/>
                <w:lang w:val="es-ES"/>
              </w:rPr>
              <w:t></w:t>
            </w:r>
          </w:p>
        </w:tc>
      </w:tr>
      <w:tr>
        <w:trPr>
          <w:trHeight w:val="457"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ind w:left="97" w:right="211" w:hanging="0"/>
              <w:rPr/>
            </w:pPr>
            <w:r>
              <w:rPr>
                <w:i/>
                <w:color w:val="111827"/>
                <w:sz w:val="20"/>
                <w:lang w:val="es-ES"/>
              </w:rPr>
              <w:t xml:space="preserve">Prestación por los gastos de sepelio </w:t>
            </w:r>
            <w:r>
              <w:rPr>
                <w:i/>
                <w:sz w:val="20"/>
                <w:lang w:val="es-ES"/>
              </w:rPr>
              <w:t>(s</w:t>
            </w:r>
            <w:r>
              <w:rPr>
                <w:rStyle w:val="Destaquemayor"/>
                <w:b w:val="false"/>
                <w:bCs w:val="false"/>
                <w:i/>
                <w:sz w:val="20"/>
                <w:lang w:val="es-ES"/>
              </w:rPr>
              <w:t>ubsidio para gastos funerarios</w:t>
            </w:r>
            <w:r>
              <w:rPr>
                <w:i/>
                <w:sz w:val="20"/>
                <w:lang w:val="es-ES"/>
              </w:rPr>
              <w:t>)</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3"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3" w:after="0"/>
              <w:ind w:right="581" w:hanging="0"/>
              <w:jc w:val="right"/>
              <w:rPr>
                <w:lang w:val="es-ES"/>
              </w:rPr>
            </w:pPr>
            <w:r>
              <w:rPr>
                <w:rFonts w:ascii="Wingdings" w:hAnsi="Wingdings"/>
                <w:lang w:val="es-ES"/>
              </w:rPr>
              <w:t></w:t>
            </w:r>
          </w:p>
        </w:tc>
      </w:tr>
      <w:tr>
        <w:trPr>
          <w:trHeight w:val="250"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ind w:left="97" w:hanging="0"/>
              <w:rPr>
                <w:lang w:val="es-ES"/>
              </w:rPr>
            </w:pPr>
            <w:r>
              <w:rPr>
                <w:i/>
                <w:sz w:val="20"/>
                <w:lang w:val="es-ES"/>
              </w:rPr>
              <w:t>Paquetes de alimentos, tarjetas de alimentos</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3"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r>
      <w:tr>
        <w:trPr>
          <w:trHeight w:val="253"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hanging="0"/>
              <w:rPr/>
            </w:pPr>
            <w:r>
              <w:rPr>
                <w:i/>
                <w:color w:val="111827"/>
                <w:sz w:val="20"/>
                <w:lang w:val="es-ES"/>
              </w:rPr>
              <w:t xml:space="preserve">Paquetes de productos </w:t>
            </w:r>
            <w:r>
              <w:rPr>
                <w:rStyle w:val="Destaquemayor"/>
                <w:b w:val="false"/>
                <w:bCs w:val="false"/>
                <w:i/>
                <w:sz w:val="20"/>
                <w:lang w:val="es-ES"/>
              </w:rPr>
              <w:t>higiénicos</w:t>
            </w:r>
            <w:r>
              <w:rPr>
                <w:i/>
                <w:sz w:val="20"/>
                <w:lang w:val="es-ES"/>
              </w:rPr>
              <w:t xml:space="preserve"> </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r>
      <w:tr>
        <w:trPr>
          <w:trHeight w:val="253"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hanging="0"/>
              <w:rPr/>
            </w:pPr>
            <w:r>
              <w:rPr>
                <w:i/>
                <w:color w:val="111827"/>
                <w:sz w:val="20"/>
                <w:lang w:val="es-ES"/>
              </w:rPr>
              <w:t xml:space="preserve">Paquetes de </w:t>
            </w:r>
            <w:r>
              <w:rPr>
                <w:rStyle w:val="Destaquemayor"/>
                <w:b w:val="false"/>
                <w:bCs w:val="false"/>
                <w:i/>
                <w:sz w:val="20"/>
                <w:lang w:val="es-ES"/>
              </w:rPr>
              <w:t>higiene infantil</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7"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r>
      <w:tr>
        <w:trPr>
          <w:trHeight w:val="250"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7" w:hanging="0"/>
              <w:rPr>
                <w:lang w:val="es-ES"/>
              </w:rPr>
            </w:pPr>
            <w:r>
              <w:rPr>
                <w:i/>
                <w:sz w:val="20"/>
                <w:lang w:val="es-ES"/>
              </w:rPr>
              <w:t>Ayuda para recién nacidos y madres</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25" w:before="6" w:after="0"/>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18"/>
                <w:lang w:val="es-ES"/>
              </w:rPr>
            </w:pPr>
            <w:r>
              <w:rPr>
                <w:sz w:val="18"/>
                <w:lang w:val="es-ES"/>
              </w:rPr>
            </w:r>
          </w:p>
        </w:tc>
      </w:tr>
      <w:tr>
        <w:trPr>
          <w:trHeight w:val="923" w:hRule="atLeast"/>
        </w:trPr>
        <w:tc>
          <w:tcPr>
            <w:tcW w:w="298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0" w:before="2" w:after="0"/>
              <w:ind w:left="97" w:right="261" w:hanging="0"/>
              <w:rPr>
                <w:lang w:val="es-ES"/>
              </w:rPr>
            </w:pPr>
            <w:r>
              <w:rPr>
                <w:i/>
                <w:sz w:val="20"/>
                <w:lang w:val="es-ES"/>
              </w:rPr>
              <w:t>Al cumplir con el periodo requerido para la cobertura de seguro social se otorgan prestaciones de enfermedad, maternidad, paternidad, cuidado de niños y otros prestaciones del seguro social</w:t>
            </w:r>
          </w:p>
        </w:tc>
        <w:tc>
          <w:tcPr>
            <w:tcW w:w="1985"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9" w:after="0"/>
              <w:rPr>
                <w:b/>
                <w:b/>
                <w:i/>
                <w:i/>
                <w:sz w:val="20"/>
                <w:lang w:val="es-ES"/>
              </w:rPr>
            </w:pPr>
            <w:r>
              <w:rPr>
                <w:b/>
                <w:i/>
                <w:sz w:val="20"/>
                <w:lang w:val="es-ES"/>
              </w:rPr>
            </w:r>
          </w:p>
          <w:p>
            <w:pPr>
              <w:pStyle w:val="TableParagraph"/>
              <w:widowControl w:val="false"/>
              <w:ind w:right="800" w:hanging="0"/>
              <w:jc w:val="right"/>
              <w:rPr>
                <w:lang w:val="es-ES"/>
              </w:rPr>
            </w:pPr>
            <w:r>
              <w:rPr>
                <w:rFonts w:ascii="Wingdings" w:hAnsi="Wingdings"/>
                <w:lang w:val="es-ES"/>
              </w:rPr>
              <w:t></w:t>
            </w:r>
          </w:p>
        </w:tc>
        <w:tc>
          <w:tcPr>
            <w:tcW w:w="2127" w:type="dxa"/>
            <w:tcBorders>
              <w:top w:val="double" w:sz="2" w:space="0" w:color="000000"/>
              <w:left w:val="double" w:sz="2" w:space="0" w:color="000000"/>
              <w:bottom w:val="double" w:sz="2" w:space="0" w:color="000000"/>
              <w:right w:val="double" w:sz="2" w:space="0" w:color="000000"/>
            </w:tcBorders>
          </w:tcPr>
          <w:p>
            <w:pPr>
              <w:pStyle w:val="TableParagraph"/>
              <w:widowControl w:val="false"/>
              <w:rPr>
                <w:sz w:val="20"/>
                <w:lang w:val="es-ES"/>
              </w:rPr>
            </w:pPr>
            <w:r>
              <w:rPr>
                <w:sz w:val="20"/>
                <w:lang w:val="es-ES"/>
              </w:rPr>
            </w:r>
          </w:p>
        </w:tc>
        <w:tc>
          <w:tcPr>
            <w:tcW w:w="1549"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4"/>
                <w:lang w:val="es-ES"/>
              </w:rPr>
            </w:pPr>
            <w:r>
              <w:rPr>
                <w:b/>
                <w:i/>
                <w:sz w:val="24"/>
                <w:lang w:val="es-ES"/>
              </w:rPr>
            </w:r>
          </w:p>
          <w:p>
            <w:pPr>
              <w:pStyle w:val="TableParagraph"/>
              <w:widowControl w:val="false"/>
              <w:spacing w:before="9" w:after="0"/>
              <w:rPr>
                <w:b/>
                <w:b/>
                <w:i/>
                <w:i/>
                <w:sz w:val="20"/>
                <w:lang w:val="es-ES"/>
              </w:rPr>
            </w:pPr>
            <w:r>
              <w:rPr>
                <w:b/>
                <w:i/>
                <w:sz w:val="20"/>
                <w:lang w:val="es-ES"/>
              </w:rPr>
            </w:r>
          </w:p>
          <w:p>
            <w:pPr>
              <w:pStyle w:val="TableParagraph"/>
              <w:widowControl w:val="false"/>
              <w:ind w:right="581" w:hanging="0"/>
              <w:jc w:val="right"/>
              <w:rPr>
                <w:lang w:val="es-ES"/>
              </w:rPr>
            </w:pPr>
            <w:r>
              <w:rPr>
                <w:rFonts w:ascii="Wingdings" w:hAnsi="Wingdings"/>
                <w:lang w:val="es-ES"/>
              </w:rPr>
              <w:t></w:t>
            </w:r>
          </w:p>
        </w:tc>
      </w:tr>
    </w:tbl>
    <w:p>
      <w:pPr>
        <w:sectPr>
          <w:type w:val="nextPage"/>
          <w:pgSz w:w="11906" w:h="16838"/>
          <w:pgMar w:left="1580" w:right="620" w:gutter="0" w:header="0" w:top="1580" w:footer="0" w:bottom="280"/>
          <w:pgNumType w:fmt="decimal"/>
          <w:formProt w:val="false"/>
          <w:textDirection w:val="lrTb"/>
          <w:docGrid w:type="default" w:linePitch="100" w:charSpace="8192"/>
        </w:sectPr>
      </w:pPr>
    </w:p>
    <w:p>
      <w:pPr>
        <w:pStyle w:val="Normal"/>
        <w:rPr>
          <w:b/>
          <w:b/>
          <w:i/>
          <w:i/>
          <w:sz w:val="20"/>
          <w:lang w:val="es-ES"/>
        </w:rPr>
      </w:pPr>
      <w:r>
        <w:rPr>
          <w:b/>
          <w:i/>
          <w:sz w:val="20"/>
          <w:lang w:val="es-ES"/>
        </w:rPr>
      </w:r>
    </w:p>
    <w:p>
      <w:pPr>
        <w:pStyle w:val="Normal"/>
        <w:rPr>
          <w:b/>
          <w:b/>
          <w:i/>
          <w:i/>
          <w:sz w:val="20"/>
          <w:lang w:val="es-ES"/>
        </w:rPr>
      </w:pPr>
      <w:r>
        <w:rPr>
          <w:b/>
          <w:i/>
          <w:sz w:val="20"/>
          <w:lang w:val="es-ES"/>
        </w:rPr>
      </w:r>
    </w:p>
    <w:p>
      <w:pPr>
        <w:pStyle w:val="Normal"/>
        <w:spacing w:before="221" w:after="0"/>
        <w:ind w:left="122" w:hanging="0"/>
        <w:rPr>
          <w:lang w:val="es-ES"/>
        </w:rPr>
      </w:pPr>
      <w:r>
        <w:drawing>
          <wp:anchor behindDoc="0" distT="0" distB="0" distL="0" distR="0" simplePos="0" locked="0" layoutInCell="0" allowOverlap="1" relativeHeight="24">
            <wp:simplePos x="0" y="0"/>
            <wp:positionH relativeFrom="page">
              <wp:posOffset>4733925</wp:posOffset>
            </wp:positionH>
            <wp:positionV relativeFrom="paragraph">
              <wp:posOffset>-581660</wp:posOffset>
            </wp:positionV>
            <wp:extent cx="2364105" cy="1660525"/>
            <wp:effectExtent l="0" t="0" r="0" b="0"/>
            <wp:wrapNone/>
            <wp:docPr id="8"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 descr=""/>
                    <pic:cNvPicPr>
                      <a:picLocks noChangeAspect="1" noChangeArrowheads="1"/>
                    </pic:cNvPicPr>
                  </pic:nvPicPr>
                  <pic:blipFill>
                    <a:blip r:embed="rId11"/>
                    <a:stretch>
                      <a:fillRect/>
                    </a:stretch>
                  </pic:blipFill>
                  <pic:spPr bwMode="auto">
                    <a:xfrm>
                      <a:off x="0" y="0"/>
                      <a:ext cx="2364105" cy="1660525"/>
                    </a:xfrm>
                    <a:prstGeom prst="rect">
                      <a:avLst/>
                    </a:prstGeom>
                  </pic:spPr>
                </pic:pic>
              </a:graphicData>
            </a:graphic>
          </wp:anchor>
        </w:drawing>
      </w:r>
      <w:r>
        <w:rPr>
          <w:b/>
          <w:i/>
          <w:sz w:val="40"/>
          <w:lang w:val="es-ES"/>
        </w:rPr>
        <w:t>Centro de Acogida de Refugiados</w:t>
      </w:r>
    </w:p>
    <w:p>
      <w:pPr>
        <w:pStyle w:val="Normal"/>
        <w:spacing w:before="194" w:after="0"/>
        <w:ind w:left="122" w:hanging="0"/>
        <w:rPr/>
      </w:pPr>
      <w:r>
        <w:rPr>
          <w:b/>
          <w:i/>
          <w:sz w:val="24"/>
          <w:lang w:val="es-ES"/>
        </w:rPr>
        <w:t xml:space="preserve">Integración de una persona </w:t>
      </w:r>
      <w:r>
        <w:rPr>
          <w:rStyle w:val="Destaquemayor"/>
          <w:bCs w:val="false"/>
          <w:i/>
          <w:iCs/>
          <w:sz w:val="24"/>
          <w:lang w:val="es-ES"/>
        </w:rPr>
        <w:t>reasentada procedente</w:t>
      </w:r>
      <w:r>
        <w:rPr>
          <w:b/>
          <w:i/>
          <w:sz w:val="24"/>
          <w:lang w:val="es-ES"/>
        </w:rPr>
        <w:t xml:space="preserve"> de Ucrania</w:t>
      </w:r>
    </w:p>
    <w:p>
      <w:pPr>
        <w:pStyle w:val="Normal"/>
        <w:rPr>
          <w:b/>
          <w:b/>
          <w:i/>
          <w:i/>
          <w:sz w:val="20"/>
          <w:lang w:val="es-ES"/>
        </w:rPr>
      </w:pPr>
      <w:r>
        <w:rPr>
          <w:b/>
          <w:i/>
          <w:sz w:val="20"/>
          <w:lang w:val="es-ES"/>
        </w:rPr>
      </w:r>
    </w:p>
    <w:p>
      <w:pPr>
        <w:pStyle w:val="Normal"/>
        <w:rPr>
          <w:b/>
          <w:b/>
          <w:i/>
          <w:i/>
          <w:sz w:val="20"/>
          <w:lang w:val="es-ES"/>
        </w:rPr>
      </w:pPr>
      <w:r>
        <w:rPr>
          <w:b/>
          <w:i/>
          <w:sz w:val="20"/>
          <w:lang w:val="es-ES"/>
        </w:rPr>
      </w:r>
    </w:p>
    <w:p>
      <w:pPr>
        <w:pStyle w:val="Normal"/>
        <w:spacing w:before="10" w:after="1"/>
        <w:rPr>
          <w:b/>
          <w:b/>
          <w:i/>
          <w:i/>
          <w:sz w:val="13"/>
          <w:lang w:val="es-ES"/>
        </w:rPr>
      </w:pPr>
      <w:r>
        <w:rPr>
          <w:b/>
          <w:i/>
          <w:sz w:val="13"/>
          <w:lang w:val="es-ES"/>
        </w:rPr>
      </w:r>
    </w:p>
    <w:tbl>
      <w:tblPr>
        <w:tblW w:w="8844" w:type="dxa"/>
        <w:jc w:val="left"/>
        <w:tblInd w:w="151" w:type="dxa"/>
        <w:tblLayout w:type="fixed"/>
        <w:tblCellMar>
          <w:top w:w="0" w:type="dxa"/>
          <w:left w:w="7" w:type="dxa"/>
          <w:bottom w:w="0" w:type="dxa"/>
          <w:right w:w="7" w:type="dxa"/>
        </w:tblCellMar>
        <w:tblLook w:firstRow="1" w:noVBand="0" w:lastRow="1" w:firstColumn="1" w:lastColumn="1" w:noHBand="0" w:val="01e0"/>
      </w:tblPr>
      <w:tblGrid>
        <w:gridCol w:w="4023"/>
        <w:gridCol w:w="4820"/>
      </w:tblGrid>
      <w:tr>
        <w:trPr>
          <w:trHeight w:val="2529" w:hRule="atLeast"/>
        </w:trPr>
        <w:tc>
          <w:tcPr>
            <w:tcW w:w="4023"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2" w:after="0"/>
              <w:rPr>
                <w:b/>
                <w:b/>
                <w:i/>
                <w:i/>
                <w:sz w:val="13"/>
                <w:lang w:val="es-ES"/>
              </w:rPr>
            </w:pPr>
            <w:r>
              <w:rPr>
                <w:b/>
                <w:i/>
                <w:sz w:val="13"/>
                <w:lang w:val="es-ES"/>
              </w:rPr>
            </w:r>
          </w:p>
          <w:p>
            <w:pPr>
              <w:pStyle w:val="TableParagraph"/>
              <w:widowControl w:val="false"/>
              <w:ind w:left="1483" w:hanging="0"/>
              <w:rPr>
                <w:lang w:val="es-ES"/>
              </w:rPr>
            </w:pPr>
            <w:r>
              <w:rPr/>
              <w:drawing>
                <wp:inline distT="0" distB="0" distL="0" distR="0">
                  <wp:extent cx="651510" cy="415925"/>
                  <wp:effectExtent l="0" t="0" r="0" b="0"/>
                  <wp:docPr id="9"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descr=""/>
                          <pic:cNvPicPr>
                            <a:picLocks noChangeAspect="1" noChangeArrowheads="1"/>
                          </pic:cNvPicPr>
                        </pic:nvPicPr>
                        <pic:blipFill>
                          <a:blip r:embed="rId12"/>
                          <a:stretch>
                            <a:fillRect/>
                          </a:stretch>
                        </pic:blipFill>
                        <pic:spPr bwMode="auto">
                          <a:xfrm>
                            <a:off x="0" y="0"/>
                            <a:ext cx="651510" cy="415925"/>
                          </a:xfrm>
                          <a:prstGeom prst="rect">
                            <a:avLst/>
                          </a:prstGeom>
                        </pic:spPr>
                      </pic:pic>
                    </a:graphicData>
                  </a:graphic>
                </wp:inline>
              </w:drawing>
            </w:r>
          </w:p>
          <w:p>
            <w:pPr>
              <w:pStyle w:val="TableParagraph"/>
              <w:widowControl w:val="false"/>
              <w:spacing w:before="6" w:after="0"/>
              <w:rPr>
                <w:b/>
                <w:b/>
                <w:i/>
                <w:i/>
                <w:sz w:val="28"/>
                <w:lang w:val="es-ES"/>
              </w:rPr>
            </w:pPr>
            <w:r>
              <w:rPr>
                <w:b/>
                <w:i/>
                <w:sz w:val="28"/>
                <w:lang w:val="es-ES"/>
              </w:rPr>
            </w:r>
          </w:p>
          <w:p>
            <w:pPr>
              <w:pStyle w:val="TableParagraph"/>
              <w:widowControl w:val="false"/>
              <w:ind w:left="635" w:right="631" w:hanging="0"/>
              <w:jc w:val="center"/>
              <w:rPr>
                <w:lang w:val="es-ES"/>
              </w:rPr>
            </w:pPr>
            <w:r>
              <w:rPr>
                <w:b/>
                <w:i/>
                <w:sz w:val="28"/>
                <w:lang w:val="es-ES"/>
              </w:rPr>
              <w:t>Información general</w:t>
            </w:r>
          </w:p>
        </w:tc>
        <w:tc>
          <w:tcPr>
            <w:tcW w:w="4820"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73" w:hanging="0"/>
              <w:rPr/>
            </w:pPr>
            <w:r>
              <w:rPr>
                <w:i/>
                <w:lang w:val="es-ES"/>
              </w:rPr>
              <w:t xml:space="preserve">Una persona que haya recibido la </w:t>
            </w:r>
            <w:r>
              <w:rPr>
                <w:rStyle w:val="Destaquemayor"/>
                <w:b w:val="false"/>
                <w:bCs w:val="false"/>
                <w:i/>
                <w:iCs/>
                <w:lang w:val="es-ES"/>
              </w:rPr>
              <w:t>condición de reasentado, a su llegada a la República de Lituania</w:t>
            </w:r>
            <w:r>
              <w:rPr>
                <w:i/>
                <w:lang w:val="es-ES"/>
              </w:rPr>
              <w:t xml:space="preserve"> tendrá derecho a beneficiarse de las ayudas estatales destinadas a la integración de las personas reasentadas. El operador encargado de la integración de la persona reasentada en la República de Lituania es </w:t>
            </w:r>
            <w:r>
              <w:rPr>
                <w:b/>
                <w:bCs/>
                <w:i/>
                <w:u w:val="single"/>
                <w:lang w:val="es-ES"/>
              </w:rPr>
              <w:t>el Centro de Acogida de Refugiados</w:t>
            </w:r>
            <w:r>
              <w:rPr>
                <w:b/>
                <w:bCs/>
                <w:i/>
                <w:u w:val="thick"/>
                <w:lang w:val="es-ES"/>
              </w:rPr>
              <w:t>.</w:t>
            </w:r>
          </w:p>
          <w:p>
            <w:pPr>
              <w:pStyle w:val="TableParagraph"/>
              <w:widowControl w:val="false"/>
              <w:ind w:left="95" w:hanging="0"/>
              <w:rPr>
                <w:lang w:val="es-ES"/>
              </w:rPr>
            </w:pPr>
            <w:r>
              <w:rPr>
                <w:b/>
                <w:i/>
                <w:u w:val="thick"/>
                <w:lang w:val="es-ES"/>
              </w:rPr>
              <w:t>Contactos:</w:t>
            </w:r>
          </w:p>
          <w:p>
            <w:pPr>
              <w:pStyle w:val="TableParagraph"/>
              <w:widowControl w:val="false"/>
              <w:ind w:left="95" w:right="478" w:hanging="0"/>
              <w:rPr>
                <w:lang w:val="es-ES"/>
              </w:rPr>
            </w:pPr>
            <w:r>
              <w:rPr>
                <w:i/>
                <w:lang w:val="es-ES"/>
              </w:rPr>
              <w:t>Karaliaus Mindaugo g. 18, LT-55283 Rukla, Tel./fax +370 349 73377, +370 672 14158,</w:t>
            </w:r>
          </w:p>
          <w:p>
            <w:pPr>
              <w:pStyle w:val="TableParagraph"/>
              <w:widowControl w:val="false"/>
              <w:spacing w:lineRule="exact" w:line="254"/>
              <w:ind w:left="95" w:right="2168" w:hanging="0"/>
              <w:rPr/>
            </w:pPr>
            <w:r>
              <w:rPr>
                <w:i/>
                <w:lang w:val="es-ES"/>
              </w:rPr>
              <w:t xml:space="preserve">correo electrónico: </w:t>
            </w:r>
            <w:hyperlink r:id="rId13">
              <w:r>
                <w:rPr>
                  <w:i/>
                  <w:color w:val="0462C1"/>
                  <w:u w:val="single" w:color="0462C1"/>
                  <w:lang w:val="es-ES"/>
                </w:rPr>
                <w:t>perkelimas@rppc.lt</w:t>
              </w:r>
            </w:hyperlink>
            <w:r>
              <w:rPr>
                <w:i/>
                <w:color w:val="0462C1"/>
                <w:lang w:val="es-ES"/>
              </w:rPr>
              <w:t xml:space="preserve"> </w:t>
            </w:r>
            <w:hyperlink r:id="rId14">
              <w:r>
                <w:rPr>
                  <w:i/>
                  <w:color w:val="0462C1"/>
                  <w:u w:val="single" w:color="0462C1"/>
                  <w:lang w:val="es-ES"/>
                </w:rPr>
                <w:t>www.rppc.lt</w:t>
              </w:r>
            </w:hyperlink>
          </w:p>
        </w:tc>
      </w:tr>
      <w:tr>
        <w:trPr>
          <w:trHeight w:val="2780" w:hRule="atLeast"/>
        </w:trPr>
        <w:tc>
          <w:tcPr>
            <w:tcW w:w="4023"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8" w:after="0"/>
              <w:rPr>
                <w:b/>
                <w:b/>
                <w:i/>
                <w:i/>
                <w:sz w:val="13"/>
                <w:lang w:val="es-ES"/>
              </w:rPr>
            </w:pPr>
            <w:r>
              <w:rPr>
                <w:b/>
                <w:i/>
                <w:sz w:val="13"/>
                <w:lang w:val="es-ES"/>
              </w:rPr>
            </w:r>
          </w:p>
          <w:p>
            <w:pPr>
              <w:pStyle w:val="TableParagraph"/>
              <w:widowControl w:val="false"/>
              <w:ind w:left="1039" w:hanging="0"/>
              <w:rPr>
                <w:lang w:val="es-ES"/>
              </w:rPr>
            </w:pPr>
            <w:r>
              <w:rPr/>
              <w:drawing>
                <wp:inline distT="0" distB="0" distL="0" distR="0">
                  <wp:extent cx="1214755" cy="593725"/>
                  <wp:effectExtent l="0" t="0" r="0" b="0"/>
                  <wp:docPr id="10"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descr=""/>
                          <pic:cNvPicPr>
                            <a:picLocks noChangeAspect="1" noChangeArrowheads="1"/>
                          </pic:cNvPicPr>
                        </pic:nvPicPr>
                        <pic:blipFill>
                          <a:blip r:embed="rId15"/>
                          <a:stretch>
                            <a:fillRect/>
                          </a:stretch>
                        </pic:blipFill>
                        <pic:spPr bwMode="auto">
                          <a:xfrm>
                            <a:off x="0" y="0"/>
                            <a:ext cx="1214755" cy="593725"/>
                          </a:xfrm>
                          <a:prstGeom prst="rect">
                            <a:avLst/>
                          </a:prstGeom>
                        </pic:spPr>
                      </pic:pic>
                    </a:graphicData>
                  </a:graphic>
                </wp:inline>
              </w:drawing>
            </w:r>
          </w:p>
          <w:p>
            <w:pPr>
              <w:pStyle w:val="TableParagraph"/>
              <w:widowControl w:val="false"/>
              <w:spacing w:before="1" w:after="0"/>
              <w:rPr>
                <w:b/>
                <w:b/>
                <w:i/>
                <w:i/>
                <w:sz w:val="29"/>
                <w:lang w:val="es-ES"/>
              </w:rPr>
            </w:pPr>
            <w:r>
              <w:rPr>
                <w:b/>
                <w:i/>
                <w:sz w:val="29"/>
                <w:lang w:val="es-ES"/>
              </w:rPr>
            </w:r>
          </w:p>
          <w:p>
            <w:pPr>
              <w:pStyle w:val="TableParagraph"/>
              <w:widowControl w:val="false"/>
              <w:ind w:left="635" w:right="628" w:hanging="0"/>
              <w:jc w:val="center"/>
              <w:rPr>
                <w:lang w:val="es-ES"/>
              </w:rPr>
            </w:pPr>
            <w:r>
              <w:rPr>
                <w:b/>
                <w:i/>
                <w:sz w:val="28"/>
                <w:lang w:val="es-ES"/>
              </w:rPr>
              <w:t>Llegada</w:t>
            </w:r>
          </w:p>
        </w:tc>
        <w:tc>
          <w:tcPr>
            <w:tcW w:w="4820"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73" w:hanging="0"/>
              <w:rPr/>
            </w:pPr>
            <w:r>
              <w:rPr>
                <w:i/>
                <w:lang w:val="es-ES"/>
              </w:rPr>
              <w:t xml:space="preserve">Una persona reasentada tendrá derecho a presentar una solicitud al coordinador de reasentamiento referente a su llegada a la República de Lituania dentro de los </w:t>
            </w:r>
            <w:r>
              <w:rPr>
                <w:b/>
                <w:bCs/>
                <w:i/>
                <w:iCs/>
                <w:u w:val="single"/>
                <w:lang w:val="es-ES"/>
              </w:rPr>
              <w:t xml:space="preserve">3 meses </w:t>
            </w:r>
            <w:r>
              <w:rPr>
                <w:i/>
                <w:lang w:val="es-ES"/>
              </w:rPr>
              <w:t xml:space="preserve">a partir de la fecha de concesión de la </w:t>
            </w:r>
            <w:r>
              <w:rPr>
                <w:rStyle w:val="Destaquemayor"/>
                <w:b w:val="false"/>
                <w:bCs w:val="false"/>
                <w:i/>
                <w:iCs/>
                <w:lang w:val="es-ES"/>
              </w:rPr>
              <w:t>condición de reasentado</w:t>
            </w:r>
            <w:r>
              <w:rPr>
                <w:i/>
                <w:lang w:val="es-ES"/>
              </w:rPr>
              <w:t xml:space="preserve"> y su inclusión en la lista de personas reasentadas.</w:t>
            </w:r>
          </w:p>
          <w:p>
            <w:pPr>
              <w:pStyle w:val="TableParagraph"/>
              <w:widowControl w:val="false"/>
              <w:ind w:left="95" w:right="207" w:hanging="0"/>
              <w:rPr>
                <w:lang w:val="es-ES"/>
              </w:rPr>
            </w:pPr>
            <w:r>
              <w:rPr>
                <w:i/>
                <w:lang w:val="es-ES"/>
              </w:rPr>
              <w:t>El organizador del reasentamiento transmitirá información sobre la fecha, la hora y el lugar de llegada de la persona a la República de Lituania al operador de integración.</w:t>
            </w:r>
          </w:p>
          <w:p>
            <w:pPr>
              <w:pStyle w:val="TableParagraph"/>
              <w:widowControl w:val="false"/>
              <w:spacing w:lineRule="exact" w:line="233"/>
              <w:ind w:left="95" w:hanging="0"/>
              <w:rPr>
                <w:lang w:val="es-ES"/>
              </w:rPr>
            </w:pPr>
            <w:r>
              <w:rPr>
                <w:i/>
                <w:lang w:val="es-ES"/>
              </w:rPr>
              <w:t>El Centro de Acogida de Refugiados organiza la recogida de la persona desde el lugar de su llegada y el transporte hasta lugar de alojamiento.</w:t>
            </w:r>
          </w:p>
        </w:tc>
      </w:tr>
      <w:tr>
        <w:trPr>
          <w:trHeight w:val="1265" w:hRule="atLeast"/>
        </w:trPr>
        <w:tc>
          <w:tcPr>
            <w:tcW w:w="4023"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 w:after="0"/>
              <w:rPr>
                <w:b/>
                <w:b/>
                <w:i/>
                <w:i/>
                <w:sz w:val="5"/>
                <w:lang w:val="es-ES"/>
              </w:rPr>
            </w:pPr>
            <w:r>
              <w:rPr>
                <w:b/>
                <w:i/>
                <w:sz w:val="5"/>
                <w:lang w:val="es-ES"/>
              </w:rPr>
            </w:r>
          </w:p>
          <w:p>
            <w:pPr>
              <w:pStyle w:val="TableParagraph"/>
              <w:widowControl w:val="false"/>
              <w:ind w:left="1499" w:hanging="0"/>
              <w:rPr>
                <w:lang w:val="es-ES"/>
              </w:rPr>
            </w:pPr>
            <w:r>
              <w:rPr/>
              <w:drawing>
                <wp:inline distT="0" distB="0" distL="0" distR="0">
                  <wp:extent cx="633095" cy="521335"/>
                  <wp:effectExtent l="0" t="0" r="0" b="0"/>
                  <wp:docPr id="11"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eg" descr=""/>
                          <pic:cNvPicPr>
                            <a:picLocks noChangeAspect="1" noChangeArrowheads="1"/>
                          </pic:cNvPicPr>
                        </pic:nvPicPr>
                        <pic:blipFill>
                          <a:blip r:embed="rId16"/>
                          <a:stretch>
                            <a:fillRect/>
                          </a:stretch>
                        </pic:blipFill>
                        <pic:spPr bwMode="auto">
                          <a:xfrm>
                            <a:off x="0" y="0"/>
                            <a:ext cx="633095" cy="521335"/>
                          </a:xfrm>
                          <a:prstGeom prst="rect">
                            <a:avLst/>
                          </a:prstGeom>
                        </pic:spPr>
                      </pic:pic>
                    </a:graphicData>
                  </a:graphic>
                </wp:inline>
              </w:drawing>
            </w:r>
          </w:p>
          <w:p>
            <w:pPr>
              <w:pStyle w:val="TableParagraph"/>
              <w:widowControl w:val="false"/>
              <w:spacing w:before="5" w:after="0"/>
              <w:ind w:left="635" w:right="633" w:hanging="0"/>
              <w:jc w:val="center"/>
              <w:rPr>
                <w:lang w:val="es-ES"/>
              </w:rPr>
            </w:pPr>
            <w:r>
              <w:rPr>
                <w:b/>
                <w:i/>
                <w:sz w:val="28"/>
                <w:lang w:val="es-ES"/>
              </w:rPr>
              <w:t>Documentación a aportar</w:t>
            </w:r>
          </w:p>
        </w:tc>
        <w:tc>
          <w:tcPr>
            <w:tcW w:w="4820"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323" w:hanging="0"/>
              <w:rPr>
                <w:lang w:val="es-ES"/>
              </w:rPr>
            </w:pPr>
            <w:r>
              <w:rPr>
                <w:i/>
                <w:lang w:val="es-ES"/>
              </w:rPr>
              <w:t xml:space="preserve">La persona reasentada ante el Centro de Acogida de Refugiados en un plazo de </w:t>
            </w:r>
            <w:r>
              <w:rPr>
                <w:b/>
                <w:bCs/>
                <w:i/>
                <w:u w:val="single"/>
                <w:lang w:val="es-ES"/>
              </w:rPr>
              <w:t>10 días hábiles</w:t>
            </w:r>
            <w:r>
              <w:rPr>
                <w:i/>
                <w:lang w:val="es-ES"/>
              </w:rPr>
              <w:t xml:space="preserve"> posteriores a su llegada a la República de Lituania deberá presentar:</w:t>
            </w:r>
          </w:p>
          <w:p>
            <w:pPr>
              <w:pStyle w:val="TableParagraph"/>
              <w:widowControl w:val="false"/>
              <w:numPr>
                <w:ilvl w:val="0"/>
                <w:numId w:val="3"/>
              </w:numPr>
              <w:tabs>
                <w:tab w:val="clear" w:pos="720"/>
                <w:tab w:val="left" w:pos="317" w:leader="none"/>
              </w:tabs>
              <w:spacing w:lineRule="exact" w:line="252"/>
              <w:ind w:left="316" w:hanging="222"/>
              <w:rPr>
                <w:lang w:val="es-ES"/>
              </w:rPr>
            </w:pPr>
            <w:r>
              <w:rPr>
                <w:i/>
                <w:lang w:val="es-ES"/>
              </w:rPr>
              <w:t>Solicitud de apoyo a la integración;</w:t>
            </w:r>
          </w:p>
          <w:p>
            <w:pPr>
              <w:pStyle w:val="TableParagraph"/>
              <w:widowControl w:val="false"/>
              <w:numPr>
                <w:ilvl w:val="0"/>
                <w:numId w:val="3"/>
              </w:numPr>
              <w:tabs>
                <w:tab w:val="clear" w:pos="720"/>
                <w:tab w:val="left" w:pos="317" w:leader="none"/>
              </w:tabs>
              <w:spacing w:lineRule="exact" w:line="252"/>
              <w:ind w:left="316" w:hanging="222"/>
              <w:rPr>
                <w:lang w:val="es-ES"/>
              </w:rPr>
            </w:pPr>
            <w:r>
              <w:rPr>
                <w:i/>
                <w:lang w:val="es-ES"/>
              </w:rPr>
              <w:t>Un documento de identidad.</w:t>
            </w:r>
          </w:p>
        </w:tc>
      </w:tr>
      <w:tr>
        <w:trPr>
          <w:trHeight w:val="1518" w:hRule="atLeast"/>
        </w:trPr>
        <w:tc>
          <w:tcPr>
            <w:tcW w:w="4023"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 w:after="0"/>
              <w:rPr>
                <w:b/>
                <w:b/>
                <w:i/>
                <w:i/>
                <w:sz w:val="12"/>
                <w:lang w:val="es-ES"/>
              </w:rPr>
            </w:pPr>
            <w:r>
              <w:rPr>
                <w:b/>
                <w:i/>
                <w:sz w:val="12"/>
                <w:lang w:val="es-ES"/>
              </w:rPr>
            </w:r>
          </w:p>
          <w:p>
            <w:pPr>
              <w:pStyle w:val="TableParagraph"/>
              <w:widowControl w:val="false"/>
              <w:ind w:left="1517" w:hanging="0"/>
              <w:rPr>
                <w:lang w:val="es-ES"/>
              </w:rPr>
            </w:pPr>
            <w:r>
              <w:rPr/>
              <w:drawing>
                <wp:inline distT="0" distB="0" distL="0" distR="0">
                  <wp:extent cx="614680" cy="582930"/>
                  <wp:effectExtent l="0" t="0" r="0" b="0"/>
                  <wp:docPr id="12" name="image11.jpeg" descr="Vaizdo rezultatas pagal užklausą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descr="Vaizdo rezultatas pagal užklausą „rent clipart“"/>
                          <pic:cNvPicPr>
                            <a:picLocks noChangeAspect="1" noChangeArrowheads="1"/>
                          </pic:cNvPicPr>
                        </pic:nvPicPr>
                        <pic:blipFill>
                          <a:blip r:embed="rId17"/>
                          <a:stretch>
                            <a:fillRect/>
                          </a:stretch>
                        </pic:blipFill>
                        <pic:spPr bwMode="auto">
                          <a:xfrm>
                            <a:off x="0" y="0"/>
                            <a:ext cx="614680" cy="582930"/>
                          </a:xfrm>
                          <a:prstGeom prst="rect">
                            <a:avLst/>
                          </a:prstGeom>
                        </pic:spPr>
                      </pic:pic>
                    </a:graphicData>
                  </a:graphic>
                </wp:inline>
              </w:drawing>
            </w:r>
          </w:p>
          <w:p>
            <w:pPr>
              <w:pStyle w:val="TableParagraph"/>
              <w:widowControl w:val="false"/>
              <w:ind w:left="635" w:right="629" w:hanging="0"/>
              <w:jc w:val="center"/>
              <w:rPr>
                <w:lang w:val="es-ES"/>
              </w:rPr>
            </w:pPr>
            <w:r>
              <w:rPr>
                <w:b/>
                <w:i/>
                <w:sz w:val="28"/>
                <w:lang w:val="es-ES"/>
              </w:rPr>
              <w:t>Alojamiento</w:t>
            </w:r>
          </w:p>
        </w:tc>
        <w:tc>
          <w:tcPr>
            <w:tcW w:w="4820"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443" w:hanging="0"/>
              <w:jc w:val="both"/>
              <w:rPr>
                <w:lang w:val="es-ES"/>
              </w:rPr>
            </w:pPr>
            <w:r>
              <w:rPr>
                <w:i/>
                <w:lang w:val="es-ES"/>
              </w:rPr>
              <w:t>Las personas reasentadas podrán ser alojadas en el Centro de Acogida de Refugiados o en las instalaciones que éste haya proporcionado.</w:t>
            </w:r>
          </w:p>
          <w:p>
            <w:pPr>
              <w:pStyle w:val="TableParagraph"/>
              <w:widowControl w:val="false"/>
              <w:spacing w:before="2" w:after="0"/>
              <w:rPr>
                <w:b/>
                <w:b/>
                <w:i/>
                <w:i/>
                <w:lang w:val="es-ES"/>
              </w:rPr>
            </w:pPr>
            <w:r>
              <w:rPr>
                <w:b/>
                <w:i/>
                <w:lang w:val="es-ES"/>
              </w:rPr>
            </w:r>
          </w:p>
          <w:p>
            <w:pPr>
              <w:pStyle w:val="TableParagraph"/>
              <w:widowControl w:val="false"/>
              <w:spacing w:lineRule="exact" w:line="252"/>
              <w:ind w:left="95" w:right="115" w:hanging="0"/>
              <w:rPr>
                <w:lang w:val="es-ES"/>
              </w:rPr>
            </w:pPr>
            <w:r>
              <w:rPr>
                <w:i/>
                <w:lang w:val="es-ES"/>
              </w:rPr>
              <w:t>En el Centro o en las instalaciones facilitadas por éste, las personas podrán alojarse de</w:t>
            </w:r>
            <w:r>
              <w:rPr>
                <w:b/>
                <w:i/>
                <w:lang w:val="es-ES"/>
              </w:rPr>
              <w:t xml:space="preserve"> </w:t>
            </w:r>
            <w:r>
              <w:rPr>
                <w:b/>
                <w:i/>
                <w:u w:val="single"/>
                <w:lang w:val="es-ES"/>
              </w:rPr>
              <w:t>hasta 4 meses.</w:t>
            </w:r>
          </w:p>
        </w:tc>
      </w:tr>
      <w:tr>
        <w:trPr>
          <w:trHeight w:val="1770" w:hRule="atLeast"/>
        </w:trPr>
        <w:tc>
          <w:tcPr>
            <w:tcW w:w="4023"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 w:after="0"/>
              <w:rPr>
                <w:b/>
                <w:b/>
                <w:i/>
                <w:i/>
                <w:sz w:val="21"/>
                <w:lang w:val="es-ES"/>
              </w:rPr>
            </w:pPr>
            <w:r>
              <w:rPr>
                <w:b/>
                <w:i/>
                <w:sz w:val="21"/>
                <w:lang w:val="es-ES"/>
              </w:rPr>
            </w:r>
          </w:p>
          <w:p>
            <w:pPr>
              <w:pStyle w:val="TableParagraph"/>
              <w:widowControl w:val="false"/>
              <w:ind w:left="1106" w:hanging="0"/>
              <w:rPr>
                <w:lang w:val="es-ES"/>
              </w:rPr>
            </w:pPr>
            <w:r>
              <w:rPr/>
              <w:drawing>
                <wp:inline distT="0" distB="0" distL="0" distR="0">
                  <wp:extent cx="1134110" cy="604520"/>
                  <wp:effectExtent l="0" t="0" r="0" b="0"/>
                  <wp:docPr id="13" name="image12.png" descr="Vaizdo rezultatas pagal užklausą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png" descr="Vaizdo rezultatas pagal užklausą „clothes  clipart“"/>
                          <pic:cNvPicPr>
                            <a:picLocks noChangeAspect="1" noChangeArrowheads="1"/>
                          </pic:cNvPicPr>
                        </pic:nvPicPr>
                        <pic:blipFill>
                          <a:blip r:embed="rId18"/>
                          <a:stretch>
                            <a:fillRect/>
                          </a:stretch>
                        </pic:blipFill>
                        <pic:spPr bwMode="auto">
                          <a:xfrm>
                            <a:off x="0" y="0"/>
                            <a:ext cx="1134110" cy="604520"/>
                          </a:xfrm>
                          <a:prstGeom prst="rect">
                            <a:avLst/>
                          </a:prstGeom>
                        </pic:spPr>
                      </pic:pic>
                    </a:graphicData>
                  </a:graphic>
                </wp:inline>
              </w:drawing>
            </w:r>
          </w:p>
          <w:p>
            <w:pPr>
              <w:pStyle w:val="TableParagraph"/>
              <w:widowControl w:val="false"/>
              <w:spacing w:before="40" w:after="0"/>
              <w:ind w:left="635" w:right="628" w:hanging="0"/>
              <w:jc w:val="center"/>
              <w:rPr>
                <w:lang w:val="es-ES"/>
              </w:rPr>
            </w:pPr>
            <w:r>
              <w:rPr>
                <w:b/>
                <w:i/>
                <w:sz w:val="28"/>
                <w:lang w:val="es-ES"/>
              </w:rPr>
              <w:t>Provisiones</w:t>
            </w:r>
          </w:p>
        </w:tc>
        <w:tc>
          <w:tcPr>
            <w:tcW w:w="4820"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403" w:hanging="0"/>
              <w:rPr>
                <w:lang w:val="es-ES"/>
              </w:rPr>
            </w:pPr>
            <w:r>
              <w:rPr>
                <w:i/>
                <w:lang w:val="es-ES"/>
              </w:rPr>
              <w:t>Durante el período de permanencia en el Centro de Acogida de Refugiados o en las instalaciones facilitadas por éste, las personas reasentadas, de acuerdo con las normas aprobadas, dispondrán de:</w:t>
            </w:r>
          </w:p>
          <w:p>
            <w:pPr>
              <w:pStyle w:val="TableParagraph"/>
              <w:widowControl w:val="false"/>
              <w:numPr>
                <w:ilvl w:val="0"/>
                <w:numId w:val="2"/>
              </w:numPr>
              <w:tabs>
                <w:tab w:val="clear" w:pos="720"/>
                <w:tab w:val="left" w:pos="597" w:leader="none"/>
              </w:tabs>
              <w:spacing w:lineRule="exact" w:line="252"/>
              <w:ind w:left="596" w:hanging="361"/>
              <w:rPr/>
            </w:pPr>
            <w:r>
              <w:rPr>
                <w:rStyle w:val="Destaquemayor"/>
                <w:b w:val="false"/>
                <w:bCs w:val="false"/>
                <w:i/>
                <w:lang w:val="es-ES"/>
              </w:rPr>
              <w:t>Artículos domésticos necesarios</w:t>
            </w:r>
          </w:p>
          <w:p>
            <w:pPr>
              <w:pStyle w:val="TableParagraph"/>
              <w:widowControl w:val="false"/>
              <w:numPr>
                <w:ilvl w:val="0"/>
                <w:numId w:val="2"/>
              </w:numPr>
              <w:tabs>
                <w:tab w:val="clear" w:pos="720"/>
                <w:tab w:val="left" w:pos="597" w:leader="none"/>
              </w:tabs>
              <w:spacing w:lineRule="exact" w:line="252"/>
              <w:ind w:left="596" w:hanging="361"/>
              <w:rPr>
                <w:lang w:val="es-ES"/>
              </w:rPr>
            </w:pPr>
            <w:r>
              <w:rPr>
                <w:i/>
                <w:lang w:val="es-ES"/>
              </w:rPr>
              <w:t>Mueble</w:t>
            </w:r>
          </w:p>
          <w:p>
            <w:pPr>
              <w:pStyle w:val="TableParagraph"/>
              <w:widowControl w:val="false"/>
              <w:numPr>
                <w:ilvl w:val="0"/>
                <w:numId w:val="2"/>
              </w:numPr>
              <w:tabs>
                <w:tab w:val="clear" w:pos="720"/>
                <w:tab w:val="left" w:pos="597" w:leader="none"/>
              </w:tabs>
              <w:spacing w:lineRule="exact" w:line="233" w:before="1" w:after="0"/>
              <w:ind w:left="596" w:hanging="361"/>
              <w:rPr>
                <w:lang w:val="es-ES"/>
              </w:rPr>
            </w:pPr>
            <w:r>
              <w:rPr>
                <w:i/>
                <w:lang w:val="es-ES"/>
              </w:rPr>
              <w:t>Ropa de cama</w:t>
            </w:r>
          </w:p>
        </w:tc>
      </w:tr>
      <w:tr>
        <w:trPr>
          <w:trHeight w:val="1194" w:hRule="atLeast"/>
        </w:trPr>
        <w:tc>
          <w:tcPr>
            <w:tcW w:w="4023" w:type="dxa"/>
            <w:tcBorders>
              <w:top w:val="double" w:sz="2" w:space="0" w:color="000000"/>
              <w:left w:val="double" w:sz="2" w:space="0" w:color="000000"/>
              <w:bottom w:val="single" w:sz="8" w:space="0" w:color="000000"/>
              <w:right w:val="double" w:sz="2" w:space="0" w:color="000000"/>
            </w:tcBorders>
          </w:tcPr>
          <w:p>
            <w:pPr>
              <w:pStyle w:val="TableParagraph"/>
              <w:widowControl w:val="false"/>
              <w:ind w:left="1573" w:hanging="0"/>
              <w:rPr>
                <w:lang w:val="es-ES"/>
              </w:rPr>
            </w:pPr>
            <w:r>
              <w:rPr/>
              <w:drawing>
                <wp:inline distT="0" distB="0" distL="0" distR="0">
                  <wp:extent cx="538480" cy="528320"/>
                  <wp:effectExtent l="0" t="0" r="0" b="0"/>
                  <wp:docPr id="14" name="image13.png" descr="Vaizdo rezultatas pagal užklausą „paper expen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descr="Vaizdo rezultatas pagal užklausą „paper expenses clipart“"/>
                          <pic:cNvPicPr>
                            <a:picLocks noChangeAspect="1" noChangeArrowheads="1"/>
                          </pic:cNvPicPr>
                        </pic:nvPicPr>
                        <pic:blipFill>
                          <a:blip r:embed="rId19"/>
                          <a:stretch>
                            <a:fillRect/>
                          </a:stretch>
                        </pic:blipFill>
                        <pic:spPr bwMode="auto">
                          <a:xfrm>
                            <a:off x="0" y="0"/>
                            <a:ext cx="538480" cy="528320"/>
                          </a:xfrm>
                          <a:prstGeom prst="rect">
                            <a:avLst/>
                          </a:prstGeom>
                        </pic:spPr>
                      </pic:pic>
                    </a:graphicData>
                  </a:graphic>
                </wp:inline>
              </w:drawing>
            </w:r>
          </w:p>
          <w:p>
            <w:pPr>
              <w:pStyle w:val="TableParagraph"/>
              <w:widowControl w:val="false"/>
              <w:spacing w:lineRule="exact" w:line="303" w:before="37" w:after="0"/>
              <w:ind w:left="635" w:right="632" w:hanging="0"/>
              <w:jc w:val="center"/>
              <w:rPr>
                <w:lang w:val="es-ES"/>
              </w:rPr>
            </w:pPr>
            <w:r>
              <w:rPr>
                <w:b/>
                <w:i/>
                <w:sz w:val="28"/>
                <w:lang w:val="es-ES"/>
              </w:rPr>
              <w:t>Reembolso de gastos</w:t>
            </w:r>
          </w:p>
        </w:tc>
        <w:tc>
          <w:tcPr>
            <w:tcW w:w="4820" w:type="dxa"/>
            <w:tcBorders>
              <w:top w:val="double" w:sz="2" w:space="0" w:color="000000"/>
              <w:left w:val="double" w:sz="2" w:space="0" w:color="000000"/>
              <w:bottom w:val="single" w:sz="8" w:space="0" w:color="000000"/>
              <w:right w:val="double" w:sz="2" w:space="0" w:color="000000"/>
            </w:tcBorders>
          </w:tcPr>
          <w:p>
            <w:pPr>
              <w:pStyle w:val="TableParagraph"/>
              <w:widowControl w:val="false"/>
              <w:spacing w:before="89" w:after="0"/>
              <w:ind w:left="95" w:right="73" w:hanging="0"/>
              <w:rPr/>
            </w:pPr>
            <w:r>
              <w:rPr>
                <w:i/>
                <w:lang w:val="es-ES"/>
              </w:rPr>
              <w:t xml:space="preserve">Si la prestación de apoyo a la integración de la  persona reasentada se interrumpe por cancelación de la </w:t>
            </w:r>
            <w:r>
              <w:rPr>
                <w:rStyle w:val="Destaquemayor"/>
                <w:b w:val="false"/>
                <w:bCs w:val="false"/>
                <w:i/>
                <w:iCs/>
                <w:lang w:val="es-ES"/>
              </w:rPr>
              <w:t>condición de reasentado</w:t>
            </w:r>
            <w:r>
              <w:rPr>
                <w:i/>
                <w:lang w:val="es-ES"/>
              </w:rPr>
              <w:t xml:space="preserve">, </w:t>
            </w:r>
            <w:r>
              <w:rPr>
                <w:b/>
                <w:bCs/>
                <w:i/>
                <w:color w:val="C9211E"/>
                <w:u w:val="single"/>
                <w:lang w:val="es-ES"/>
              </w:rPr>
              <w:t>la persona deberá reembolsar a la República de Lituania los gastos incurridos.</w:t>
            </w:r>
          </w:p>
        </w:tc>
      </w:tr>
    </w:tbl>
    <w:p>
      <w:pPr>
        <w:sectPr>
          <w:type w:val="nextPage"/>
          <w:pgSz w:w="11906" w:h="16838"/>
          <w:pgMar w:left="1580" w:right="620" w:gutter="0" w:header="0" w:top="1100" w:footer="0" w:bottom="280"/>
          <w:pgNumType w:fmt="decimal"/>
          <w:formProt w:val="false"/>
          <w:textDirection w:val="lrTb"/>
          <w:docGrid w:type="default" w:linePitch="100" w:charSpace="8192"/>
        </w:sectPr>
      </w:pPr>
    </w:p>
    <w:p>
      <w:pPr>
        <w:pStyle w:val="Normal"/>
        <w:spacing w:before="9" w:after="0"/>
        <w:rPr>
          <w:b/>
          <w:b/>
          <w:i/>
          <w:i/>
          <w:sz w:val="9"/>
          <w:lang w:val="es-ES"/>
        </w:rPr>
      </w:pPr>
      <w:r>
        <w:rPr>
          <w:b/>
          <w:i/>
          <w:sz w:val="9"/>
          <w:lang w:val="es-ES"/>
        </w:rPr>
        <w:drawing>
          <wp:anchor behindDoc="0" distT="0" distB="0" distL="0" distR="0" simplePos="0" locked="0" layoutInCell="0" allowOverlap="1" relativeHeight="25">
            <wp:simplePos x="0" y="0"/>
            <wp:positionH relativeFrom="page">
              <wp:posOffset>1673225</wp:posOffset>
            </wp:positionH>
            <wp:positionV relativeFrom="page">
              <wp:posOffset>4674870</wp:posOffset>
            </wp:positionV>
            <wp:extent cx="1398905" cy="1350010"/>
            <wp:effectExtent l="0" t="0" r="0" b="0"/>
            <wp:wrapNone/>
            <wp:docPr id="15" name="image14.png" descr="Vaizdo rezultatas pagal užklausą „lithuan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png" descr="Vaizdo rezultatas pagal užklausą „lithuanian flag“"/>
                    <pic:cNvPicPr>
                      <a:picLocks noChangeAspect="1" noChangeArrowheads="1"/>
                    </pic:cNvPicPr>
                  </pic:nvPicPr>
                  <pic:blipFill>
                    <a:blip r:embed="rId20"/>
                    <a:stretch>
                      <a:fillRect/>
                    </a:stretch>
                  </pic:blipFill>
                  <pic:spPr bwMode="auto">
                    <a:xfrm>
                      <a:off x="0" y="0"/>
                      <a:ext cx="1398905" cy="1350010"/>
                    </a:xfrm>
                    <a:prstGeom prst="rect">
                      <a:avLst/>
                    </a:prstGeom>
                  </pic:spPr>
                </pic:pic>
              </a:graphicData>
            </a:graphic>
          </wp:anchor>
        </w:drawing>
      </w:r>
    </w:p>
    <w:tbl>
      <w:tblPr>
        <w:tblW w:w="9320" w:type="dxa"/>
        <w:jc w:val="left"/>
        <w:tblInd w:w="-35" w:type="dxa"/>
        <w:tblLayout w:type="fixed"/>
        <w:tblCellMar>
          <w:top w:w="0" w:type="dxa"/>
          <w:left w:w="7" w:type="dxa"/>
          <w:bottom w:w="0" w:type="dxa"/>
          <w:right w:w="7" w:type="dxa"/>
        </w:tblCellMar>
        <w:tblLook w:firstRow="1" w:noVBand="0" w:lastRow="1" w:firstColumn="1" w:lastColumn="1" w:noHBand="0" w:val="01e0"/>
      </w:tblPr>
      <w:tblGrid>
        <w:gridCol w:w="4210"/>
        <w:gridCol w:w="5109"/>
      </w:tblGrid>
      <w:tr>
        <w:trPr>
          <w:trHeight w:val="4036" w:hRule="atLeast"/>
        </w:trPr>
        <w:tc>
          <w:tcPr>
            <w:tcW w:w="4210"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3" w:after="0"/>
              <w:rPr>
                <w:b/>
                <w:b/>
                <w:i/>
                <w:i/>
                <w:lang w:val="es-ES"/>
              </w:rPr>
            </w:pPr>
            <w:r>
              <w:rPr>
                <w:b/>
                <w:i/>
                <w:lang w:val="es-ES"/>
              </w:rPr>
            </w:r>
          </w:p>
          <w:p>
            <w:pPr>
              <w:pStyle w:val="TableParagraph"/>
              <w:widowControl w:val="false"/>
              <w:ind w:left="1067" w:hanging="0"/>
              <w:rPr>
                <w:lang w:val="es-ES"/>
              </w:rPr>
            </w:pPr>
            <w:r>
              <w:rPr/>
              <w:drawing>
                <wp:inline distT="0" distB="0" distL="0" distR="0">
                  <wp:extent cx="1176655" cy="866775"/>
                  <wp:effectExtent l="0" t="0" r="0" b="0"/>
                  <wp:docPr id="16" name="image1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descr=""/>
                          <pic:cNvPicPr>
                            <a:picLocks noChangeAspect="1" noChangeArrowheads="1"/>
                          </pic:cNvPicPr>
                        </pic:nvPicPr>
                        <pic:blipFill>
                          <a:blip r:embed="rId21"/>
                          <a:stretch>
                            <a:fillRect/>
                          </a:stretch>
                        </pic:blipFill>
                        <pic:spPr bwMode="auto">
                          <a:xfrm>
                            <a:off x="0" y="0"/>
                            <a:ext cx="1176655" cy="866775"/>
                          </a:xfrm>
                          <a:prstGeom prst="rect">
                            <a:avLst/>
                          </a:prstGeom>
                        </pic:spPr>
                      </pic:pic>
                    </a:graphicData>
                  </a:graphic>
                </wp:inline>
              </w:drawing>
            </w:r>
          </w:p>
          <w:p>
            <w:pPr>
              <w:pStyle w:val="TableParagraph"/>
              <w:widowControl w:val="false"/>
              <w:ind w:left="119" w:right="117" w:hanging="0"/>
              <w:jc w:val="center"/>
              <w:rPr>
                <w:lang w:val="es-ES"/>
              </w:rPr>
            </w:pPr>
            <w:r>
              <w:rPr>
                <w:b/>
                <w:sz w:val="28"/>
                <w:lang w:val="es-ES"/>
              </w:rPr>
              <w:t>Periodo de integración</w:t>
            </w:r>
          </w:p>
        </w:tc>
        <w:tc>
          <w:tcPr>
            <w:tcW w:w="510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auto" w:line="259" w:before="1" w:after="0"/>
              <w:ind w:left="95" w:right="88" w:hanging="0"/>
              <w:jc w:val="both"/>
              <w:rPr/>
            </w:pPr>
            <w:r>
              <w:rPr>
                <w:i/>
                <w:lang w:val="es-ES"/>
              </w:rPr>
              <w:t>El Centro de Acogida de Refugiados firmará un contrato con la persona</w:t>
            </w:r>
            <w:r>
              <w:rPr>
                <w:rStyle w:val="Destaquemayor"/>
                <w:b w:val="false"/>
                <w:bCs w:val="false"/>
                <w:i/>
                <w:iCs/>
                <w:lang w:val="es-ES"/>
              </w:rPr>
              <w:t xml:space="preserve"> reasentada y, colaborando</w:t>
            </w:r>
            <w:r>
              <w:rPr>
                <w:i/>
                <w:lang w:val="es-ES"/>
              </w:rPr>
              <w:t xml:space="preserve"> con el mismo, elaborará un plan individual destinado al</w:t>
            </w:r>
            <w:r>
              <w:rPr>
                <w:b/>
                <w:bCs/>
                <w:i/>
                <w:u w:val="single"/>
                <w:lang w:val="es-ES"/>
              </w:rPr>
              <w:t xml:space="preserve"> apoyo a la integración del reasentado.</w:t>
            </w:r>
          </w:p>
          <w:p>
            <w:pPr>
              <w:pStyle w:val="TableParagraph"/>
              <w:widowControl w:val="false"/>
              <w:tabs>
                <w:tab w:val="clear" w:pos="720"/>
                <w:tab w:val="left" w:pos="603" w:leader="none"/>
                <w:tab w:val="left" w:pos="1109" w:leader="none"/>
                <w:tab w:val="left" w:pos="1819" w:leader="none"/>
                <w:tab w:val="left" w:pos="2585" w:leader="none"/>
                <w:tab w:val="left" w:pos="3752" w:leader="none"/>
              </w:tabs>
              <w:spacing w:lineRule="auto" w:line="259" w:before="18" w:after="0"/>
              <w:ind w:left="95" w:right="88" w:hanging="0"/>
              <w:rPr>
                <w:lang w:val="es-ES"/>
              </w:rPr>
            </w:pPr>
            <w:r>
              <w:rPr>
                <w:i/>
                <w:lang w:val="es-ES"/>
              </w:rPr>
              <w:t xml:space="preserve">El contrato inicial de integración podrá formalizarse con vigencia de hasta 12 meses. </w:t>
            </w:r>
            <w:r>
              <w:rPr>
                <w:b/>
                <w:bCs/>
                <w:i/>
                <w:u w:val="thick"/>
                <w:lang w:val="es-ES"/>
              </w:rPr>
              <w:t>Es recomendable formalizar el contrato inicial de integración con vigencia de 6 meses</w:t>
            </w:r>
            <w:r>
              <w:rPr>
                <w:b/>
                <w:bCs/>
                <w:i/>
                <w:lang w:val="es-ES"/>
              </w:rPr>
              <w:t>.</w:t>
            </w:r>
            <w:r>
              <w:rPr>
                <w:i/>
                <w:lang w:val="es-ES"/>
              </w:rPr>
              <w:t xml:space="preserve"> (A solicitud de la persona, se considerará una prórroga del contrato tras evaluar los indicadores del plan de integración). El período total de prestación de apoyo a la integración </w:t>
            </w:r>
          </w:p>
          <w:p>
            <w:pPr>
              <w:pStyle w:val="TableParagraph"/>
              <w:widowControl w:val="false"/>
              <w:tabs>
                <w:tab w:val="clear" w:pos="720"/>
                <w:tab w:val="left" w:pos="603" w:leader="none"/>
                <w:tab w:val="left" w:pos="1109" w:leader="none"/>
                <w:tab w:val="left" w:pos="1819" w:leader="none"/>
                <w:tab w:val="left" w:pos="2585" w:leader="none"/>
                <w:tab w:val="left" w:pos="3752" w:leader="none"/>
              </w:tabs>
              <w:spacing w:lineRule="auto" w:line="259" w:before="18" w:after="0"/>
              <w:ind w:left="95" w:right="88" w:hanging="0"/>
              <w:rPr>
                <w:lang w:val="es-ES"/>
              </w:rPr>
            </w:pPr>
            <w:r>
              <w:rPr>
                <w:b/>
                <w:bCs/>
                <w:i/>
                <w:u w:val="single"/>
                <w:lang w:val="es-ES"/>
              </w:rPr>
              <w:t>no podrá superar los 24 meses tras</w:t>
            </w:r>
            <w:r>
              <w:rPr>
                <w:b w:val="false"/>
                <w:bCs w:val="false"/>
                <w:i/>
                <w:iCs/>
                <w:u w:val="none"/>
                <w:lang w:val="es-ES"/>
              </w:rPr>
              <w:t xml:space="preserve"> la firma del contrato.</w:t>
            </w:r>
          </w:p>
          <w:p>
            <w:pPr>
              <w:pStyle w:val="TableParagraph"/>
              <w:widowControl w:val="false"/>
              <w:spacing w:lineRule="exact" w:line="235"/>
              <w:ind w:left="95" w:hanging="0"/>
              <w:rPr>
                <w:lang w:val="es-ES"/>
              </w:rPr>
            </w:pPr>
            <w:r>
              <w:rPr>
                <w:b/>
                <w:i/>
                <w:u w:val="thick"/>
                <w:lang w:val="es-ES"/>
              </w:rPr>
              <w:t xml:space="preserve">El período de prestaciones dinerarias no podrá superar a los 18 meses </w:t>
            </w:r>
            <w:r>
              <w:rPr>
                <w:b/>
                <w:bCs/>
                <w:i/>
                <w:u w:val="single"/>
                <w:lang w:val="es-ES"/>
              </w:rPr>
              <w:t>tras la firma del contrato</w:t>
            </w:r>
            <w:r>
              <w:rPr>
                <w:b/>
                <w:i/>
                <w:u w:val="thick"/>
                <w:lang w:val="es-ES"/>
              </w:rPr>
              <w:t>.</w:t>
            </w:r>
          </w:p>
        </w:tc>
      </w:tr>
      <w:tr>
        <w:trPr>
          <w:trHeight w:val="1263" w:hRule="atLeast"/>
        </w:trPr>
        <w:tc>
          <w:tcPr>
            <w:tcW w:w="4210"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7" w:after="1"/>
              <w:rPr>
                <w:b/>
                <w:b/>
                <w:i/>
                <w:i/>
                <w:sz w:val="10"/>
                <w:lang w:val="es-ES"/>
              </w:rPr>
            </w:pPr>
            <w:r>
              <w:rPr>
                <w:b/>
                <w:i/>
                <w:sz w:val="10"/>
                <w:lang w:val="es-ES"/>
              </w:rPr>
            </w:r>
          </w:p>
          <w:p>
            <w:pPr>
              <w:pStyle w:val="TableParagraph"/>
              <w:widowControl w:val="false"/>
              <w:ind w:left="1647" w:hanging="0"/>
              <w:rPr>
                <w:lang w:val="es-ES"/>
              </w:rPr>
            </w:pPr>
            <w:r>
              <w:rPr/>
              <w:drawing>
                <wp:inline distT="0" distB="0" distL="0" distR="0">
                  <wp:extent cx="447675" cy="444500"/>
                  <wp:effectExtent l="0" t="0" r="0" b="0"/>
                  <wp:docPr id="17" name="image16.jpeg" descr="Vaizdo rezultatas pagal užklausą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6.jpeg" descr="Vaizdo rezultatas pagal užklausą „health clipart“"/>
                          <pic:cNvPicPr>
                            <a:picLocks noChangeAspect="1" noChangeArrowheads="1"/>
                          </pic:cNvPicPr>
                        </pic:nvPicPr>
                        <pic:blipFill>
                          <a:blip r:embed="rId22"/>
                          <a:stretch>
                            <a:fillRect/>
                          </a:stretch>
                        </pic:blipFill>
                        <pic:spPr bwMode="auto">
                          <a:xfrm>
                            <a:off x="0" y="0"/>
                            <a:ext cx="447675" cy="444500"/>
                          </a:xfrm>
                          <a:prstGeom prst="rect">
                            <a:avLst/>
                          </a:prstGeom>
                        </pic:spPr>
                      </pic:pic>
                    </a:graphicData>
                  </a:graphic>
                </wp:inline>
              </w:drawing>
            </w:r>
          </w:p>
          <w:p>
            <w:pPr>
              <w:pStyle w:val="TableParagraph"/>
              <w:widowControl w:val="false"/>
              <w:ind w:left="119" w:right="113" w:hanging="0"/>
              <w:jc w:val="center"/>
              <w:rPr>
                <w:lang w:val="es-ES"/>
              </w:rPr>
            </w:pPr>
            <w:r>
              <w:rPr>
                <w:b/>
                <w:i/>
                <w:sz w:val="28"/>
                <w:lang w:val="es-ES"/>
              </w:rPr>
              <w:t>Asistencia sanitaria</w:t>
            </w:r>
          </w:p>
        </w:tc>
        <w:tc>
          <w:tcPr>
            <w:tcW w:w="5109"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lineRule="exact" w:line="233"/>
              <w:ind w:left="95" w:hanging="0"/>
              <w:rPr>
                <w:lang w:val="es-ES"/>
              </w:rPr>
            </w:pPr>
            <w:r>
              <w:rPr>
                <w:i/>
                <w:lang w:val="es-ES"/>
              </w:rPr>
              <w:t>La persona reasentada tendrá cobertura médica  desde la fecha de inscripción en la lista de personas reasentadas.</w:t>
              <w:br/>
              <w:t>Las personas reasentadas que deseen recibir atención médica y servicios psicológicos deberán registrarse con médicos de familia o especialistas.</w:t>
            </w:r>
          </w:p>
        </w:tc>
      </w:tr>
      <w:tr>
        <w:trPr>
          <w:trHeight w:val="3289" w:hRule="atLeast"/>
        </w:trPr>
        <w:tc>
          <w:tcPr>
            <w:tcW w:w="4210"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30"/>
                <w:lang w:val="es-ES"/>
              </w:rPr>
            </w:pPr>
            <w:r>
              <w:rPr>
                <w:b/>
                <w:i/>
                <w:sz w:val="30"/>
                <w:lang w:val="es-ES"/>
              </w:rPr>
            </w:r>
          </w:p>
          <w:p>
            <w:pPr>
              <w:pStyle w:val="TableParagraph"/>
              <w:widowControl w:val="false"/>
              <w:rPr>
                <w:b/>
                <w:b/>
                <w:i/>
                <w:i/>
                <w:sz w:val="30"/>
                <w:lang w:val="es-ES"/>
              </w:rPr>
            </w:pPr>
            <w:r>
              <w:rPr>
                <w:b/>
                <w:i/>
                <w:sz w:val="30"/>
                <w:lang w:val="es-ES"/>
              </w:rPr>
            </w:r>
          </w:p>
          <w:p>
            <w:pPr>
              <w:pStyle w:val="TableParagraph"/>
              <w:widowControl w:val="false"/>
              <w:rPr>
                <w:b/>
                <w:b/>
                <w:i/>
                <w:i/>
                <w:sz w:val="30"/>
                <w:lang w:val="es-ES"/>
              </w:rPr>
            </w:pPr>
            <w:r>
              <w:rPr>
                <w:b/>
                <w:i/>
                <w:sz w:val="30"/>
                <w:lang w:val="es-ES"/>
              </w:rPr>
            </w:r>
          </w:p>
          <w:p>
            <w:pPr>
              <w:pStyle w:val="TableParagraph"/>
              <w:widowControl w:val="false"/>
              <w:rPr>
                <w:b/>
                <w:b/>
                <w:i/>
                <w:i/>
                <w:sz w:val="30"/>
                <w:lang w:val="es-ES"/>
              </w:rPr>
            </w:pPr>
            <w:r>
              <w:rPr>
                <w:b/>
                <w:i/>
                <w:sz w:val="30"/>
                <w:lang w:val="es-ES"/>
              </w:rPr>
            </w:r>
          </w:p>
          <w:p>
            <w:pPr>
              <w:pStyle w:val="TableParagraph"/>
              <w:widowControl w:val="false"/>
              <w:rPr>
                <w:b/>
                <w:b/>
                <w:i/>
                <w:i/>
                <w:sz w:val="30"/>
                <w:lang w:val="es-ES"/>
              </w:rPr>
            </w:pPr>
            <w:r>
              <w:rPr>
                <w:b/>
                <w:i/>
                <w:sz w:val="30"/>
                <w:lang w:val="es-ES"/>
              </w:rPr>
            </w:r>
          </w:p>
          <w:p>
            <w:pPr>
              <w:pStyle w:val="TableParagraph"/>
              <w:widowControl w:val="false"/>
              <w:spacing w:before="9" w:after="0"/>
              <w:rPr>
                <w:b/>
                <w:b/>
                <w:i/>
                <w:i/>
                <w:sz w:val="32"/>
                <w:lang w:val="es-ES"/>
              </w:rPr>
            </w:pPr>
            <w:r>
              <w:rPr>
                <w:b/>
                <w:i/>
                <w:sz w:val="32"/>
                <w:lang w:val="es-ES"/>
              </w:rPr>
            </w:r>
          </w:p>
          <w:p>
            <w:pPr>
              <w:pStyle w:val="TableParagraph"/>
              <w:widowControl w:val="false"/>
              <w:ind w:left="1249" w:right="681" w:hanging="545"/>
              <w:rPr>
                <w:lang w:val="es-ES"/>
              </w:rPr>
            </w:pPr>
            <w:r>
              <w:rPr>
                <w:b/>
                <w:i/>
                <w:sz w:val="28"/>
                <w:lang w:val="es-ES"/>
              </w:rPr>
              <w:t>Cursos de lituano para adultos</w:t>
            </w:r>
          </w:p>
        </w:tc>
        <w:tc>
          <w:tcPr>
            <w:tcW w:w="5109"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80" w:hanging="0"/>
              <w:rPr/>
            </w:pPr>
            <w:r>
              <w:rPr>
                <w:i/>
                <w:lang w:val="es-ES"/>
              </w:rPr>
              <w:t xml:space="preserve">El Centro de Acogida de Refugiados organiza </w:t>
            </w:r>
            <w:r>
              <w:rPr>
                <w:i/>
                <w:color w:val="C9211E"/>
                <w:u w:val="single"/>
                <w:lang w:val="es-ES"/>
              </w:rPr>
              <w:t>cursos</w:t>
            </w:r>
            <w:r>
              <w:rPr>
                <w:i/>
                <w:lang w:val="es-ES"/>
              </w:rPr>
              <w:t xml:space="preserve"> intensivos </w:t>
            </w:r>
            <w:r>
              <w:rPr>
                <w:i/>
                <w:color w:val="C9211E"/>
                <w:u w:val="single"/>
                <w:lang w:val="es-ES"/>
              </w:rPr>
              <w:t>de 96 horas (nivel A1)</w:t>
            </w:r>
            <w:r>
              <w:rPr>
                <w:i/>
                <w:lang w:val="es-ES"/>
              </w:rPr>
              <w:t xml:space="preserve"> para </w:t>
            </w:r>
            <w:r>
              <w:rPr>
                <w:rStyle w:val="Destaquemayor"/>
                <w:b w:val="false"/>
                <w:bCs w:val="false"/>
                <w:i/>
                <w:lang w:val="es-ES"/>
              </w:rPr>
              <w:t>aprendizaje de</w:t>
            </w:r>
            <w:r>
              <w:rPr>
                <w:rStyle w:val="Destaquemayor"/>
                <w:b w:val="false"/>
                <w:bCs w:val="false"/>
                <w:i/>
                <w:color w:val="111827"/>
                <w:lang w:val="es-ES"/>
              </w:rPr>
              <w:t xml:space="preserve"> </w:t>
            </w:r>
            <w:r>
              <w:rPr>
                <w:rStyle w:val="Destaquemayor"/>
                <w:b w:val="false"/>
                <w:bCs w:val="false"/>
                <w:i/>
                <w:lang w:val="es-ES"/>
              </w:rPr>
              <w:t>lengua y cultura</w:t>
            </w:r>
            <w:r>
              <w:rPr>
                <w:i/>
                <w:lang w:val="es-ES"/>
              </w:rPr>
              <w:t xml:space="preserve"> lituano destinado a las personas adultas reasentadas.</w:t>
            </w:r>
          </w:p>
          <w:p>
            <w:pPr>
              <w:pStyle w:val="TableParagraph"/>
              <w:widowControl w:val="false"/>
              <w:ind w:left="95" w:right="287" w:hanging="0"/>
              <w:rPr>
                <w:lang w:val="es-ES"/>
              </w:rPr>
            </w:pPr>
            <w:r>
              <w:rPr>
                <w:i/>
                <w:lang w:val="es-ES"/>
              </w:rPr>
              <w:t xml:space="preserve">Los municipios adicionalmente organizan </w:t>
            </w:r>
            <w:r>
              <w:rPr>
                <w:i/>
                <w:color w:val="C9211E"/>
                <w:u w:val="single"/>
                <w:lang w:val="es-ES"/>
              </w:rPr>
              <w:t>cursos</w:t>
            </w:r>
            <w:r>
              <w:rPr>
                <w:i/>
                <w:lang w:val="es-ES"/>
              </w:rPr>
              <w:t xml:space="preserve"> de lengua lituana </w:t>
            </w:r>
            <w:r>
              <w:rPr>
                <w:i/>
                <w:color w:val="C9211E"/>
                <w:u w:val="single"/>
                <w:lang w:val="es-ES"/>
              </w:rPr>
              <w:t>de 190 horas (nivel A1)</w:t>
            </w:r>
            <w:r>
              <w:rPr>
                <w:i/>
                <w:lang w:val="es-ES"/>
              </w:rPr>
              <w:t xml:space="preserve"> para adultos.</w:t>
            </w:r>
          </w:p>
          <w:p>
            <w:pPr>
              <w:pStyle w:val="TableParagraph"/>
              <w:widowControl w:val="false"/>
              <w:ind w:left="95" w:right="208" w:hanging="0"/>
              <w:rPr>
                <w:lang w:val="es-ES"/>
              </w:rPr>
            </w:pPr>
            <w:r>
              <w:rPr>
                <w:i/>
                <w:lang w:val="es-ES"/>
              </w:rPr>
              <w:t>Las personas tendrán derecho a asistir a cursos de idioma lituano de forma independiente.</w:t>
            </w:r>
          </w:p>
          <w:p>
            <w:pPr>
              <w:pStyle w:val="TableParagraph"/>
              <w:widowControl w:val="false"/>
              <w:spacing w:lineRule="exact" w:line="252" w:before="3" w:after="0"/>
              <w:ind w:left="95" w:right="428" w:hanging="0"/>
              <w:rPr/>
            </w:pPr>
            <w:r>
              <w:rPr>
                <w:i/>
                <w:lang w:val="es-ES"/>
              </w:rPr>
              <w:t xml:space="preserve">Después de que la persona reasentada presenta los documentos necesarios, se podrá beneficiarse de una compensación de hasta 3 veces de Ingresos Garantizados por el Estado (IGE)(441 EUR), que </w:t>
            </w:r>
            <w:r>
              <w:rPr>
                <w:rStyle w:val="Destaquemayor"/>
                <w:b w:val="false"/>
                <w:bCs w:val="false"/>
                <w:i/>
                <w:lang w:val="es-ES"/>
              </w:rPr>
              <w:t>no podrán exceder de los costes realmente soportados.</w:t>
            </w:r>
          </w:p>
        </w:tc>
      </w:tr>
      <w:tr>
        <w:trPr>
          <w:trHeight w:val="5060" w:hRule="atLeast"/>
        </w:trPr>
        <w:tc>
          <w:tcPr>
            <w:tcW w:w="4210"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10" w:after="0"/>
              <w:rPr>
                <w:b/>
                <w:b/>
                <w:i/>
                <w:i/>
                <w:sz w:val="13"/>
                <w:lang w:val="es-ES"/>
              </w:rPr>
            </w:pPr>
            <w:r>
              <w:rPr>
                <w:b/>
                <w:i/>
                <w:sz w:val="13"/>
                <w:lang w:val="es-ES"/>
              </w:rPr>
            </w:r>
          </w:p>
          <w:p>
            <w:pPr>
              <w:pStyle w:val="TableParagraph"/>
              <w:widowControl w:val="false"/>
              <w:ind w:left="984" w:hanging="0"/>
              <w:rPr>
                <w:lang w:val="es-ES"/>
              </w:rPr>
            </w:pPr>
            <w:r>
              <w:rPr/>
              <w:drawing>
                <wp:inline distT="0" distB="0" distL="0" distR="0">
                  <wp:extent cx="1287780" cy="792480"/>
                  <wp:effectExtent l="0" t="0" r="0" b="0"/>
                  <wp:docPr id="18" name="image17.jpeg" descr="Vaizdo rezultatas pagal užklausą „edu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jpeg" descr="Vaizdo rezultatas pagal užklausą „education clipart“"/>
                          <pic:cNvPicPr>
                            <a:picLocks noChangeAspect="1" noChangeArrowheads="1"/>
                          </pic:cNvPicPr>
                        </pic:nvPicPr>
                        <pic:blipFill>
                          <a:blip r:embed="rId23"/>
                          <a:stretch>
                            <a:fillRect/>
                          </a:stretch>
                        </pic:blipFill>
                        <pic:spPr bwMode="auto">
                          <a:xfrm>
                            <a:off x="0" y="0"/>
                            <a:ext cx="1287780" cy="792480"/>
                          </a:xfrm>
                          <a:prstGeom prst="rect">
                            <a:avLst/>
                          </a:prstGeom>
                        </pic:spPr>
                      </pic:pic>
                    </a:graphicData>
                  </a:graphic>
                </wp:inline>
              </w:drawing>
            </w:r>
          </w:p>
          <w:p>
            <w:pPr>
              <w:pStyle w:val="TableParagraph"/>
              <w:widowControl w:val="false"/>
              <w:spacing w:before="3" w:after="0"/>
              <w:rPr>
                <w:b/>
                <w:b/>
                <w:i/>
                <w:i/>
                <w:sz w:val="29"/>
                <w:lang w:val="es-ES"/>
              </w:rPr>
            </w:pPr>
            <w:r>
              <w:rPr>
                <w:b/>
                <w:i/>
                <w:sz w:val="29"/>
                <w:lang w:val="es-ES"/>
              </w:rPr>
            </w:r>
          </w:p>
          <w:p>
            <w:pPr>
              <w:pStyle w:val="TableParagraph"/>
              <w:widowControl w:val="false"/>
              <w:spacing w:lineRule="exact" w:line="321"/>
              <w:ind w:left="119" w:right="114" w:hanging="0"/>
              <w:jc w:val="center"/>
              <w:rPr>
                <w:lang w:val="es-ES"/>
              </w:rPr>
            </w:pPr>
            <w:r>
              <w:rPr>
                <w:b/>
                <w:i/>
                <w:sz w:val="28"/>
                <w:lang w:val="es-ES"/>
              </w:rPr>
              <w:t xml:space="preserve">Educación   </w:t>
            </w:r>
          </w:p>
          <w:p>
            <w:pPr>
              <w:pStyle w:val="TableParagraph"/>
              <w:widowControl w:val="false"/>
              <w:ind w:left="119" w:right="115" w:hanging="0"/>
              <w:jc w:val="center"/>
              <w:rPr>
                <w:lang w:val="es-ES"/>
              </w:rPr>
            </w:pPr>
            <w:r>
              <w:rPr>
                <w:b/>
                <w:i/>
                <w:sz w:val="24"/>
                <w:lang w:val="es-ES"/>
              </w:rPr>
              <w:t>Matriculación en guarderías y escuelas</w:t>
            </w:r>
          </w:p>
          <w:p>
            <w:pPr>
              <w:pStyle w:val="TableParagraph"/>
              <w:widowControl w:val="false"/>
              <w:ind w:left="119" w:right="115" w:hanging="0"/>
              <w:jc w:val="center"/>
              <w:rPr>
                <w:b/>
                <w:b/>
                <w:i/>
                <w:i/>
                <w:sz w:val="24"/>
                <w:lang w:val="es-ES"/>
              </w:rPr>
            </w:pPr>
            <w:r>
              <w:rPr>
                <w:b/>
                <w:i/>
                <w:sz w:val="24"/>
                <w:lang w:val="es-ES"/>
              </w:rPr>
            </w:r>
          </w:p>
        </w:tc>
        <w:tc>
          <w:tcPr>
            <w:tcW w:w="5109" w:type="dxa"/>
            <w:tcBorders>
              <w:top w:val="double" w:sz="2" w:space="0" w:color="000000"/>
              <w:left w:val="double" w:sz="2" w:space="0" w:color="000000"/>
              <w:bottom w:val="double" w:sz="2" w:space="0" w:color="000000"/>
              <w:right w:val="double" w:sz="2" w:space="0" w:color="000000"/>
            </w:tcBorders>
          </w:tcPr>
          <w:p>
            <w:pPr>
              <w:pStyle w:val="TableParagraph"/>
              <w:widowControl w:val="false"/>
              <w:ind w:left="95" w:right="428" w:hanging="0"/>
              <w:rPr>
                <w:lang w:val="es-ES"/>
              </w:rPr>
            </w:pPr>
            <w:r>
              <w:rPr>
                <w:i/>
                <w:lang w:val="es-ES"/>
              </w:rPr>
              <w:t>El Centro de Acogida de Refugiados ofrece asistencia en el proceso de matriculación de los niños en los programas de educación preescolar y escolar.</w:t>
            </w:r>
          </w:p>
          <w:p>
            <w:pPr>
              <w:pStyle w:val="TableParagraph"/>
              <w:widowControl w:val="false"/>
              <w:tabs>
                <w:tab w:val="clear" w:pos="720"/>
                <w:tab w:val="left" w:pos="1815" w:leader="none"/>
                <w:tab w:val="left" w:pos="3595" w:leader="none"/>
              </w:tabs>
              <w:ind w:left="95" w:right="88" w:hanging="0"/>
              <w:rPr>
                <w:lang w:val="es-ES"/>
              </w:rPr>
            </w:pPr>
            <w:r>
              <w:rPr>
                <w:i/>
                <w:lang w:val="es-ES"/>
              </w:rPr>
              <w:t>Los menores reasentados reciben</w:t>
            </w:r>
            <w:r>
              <w:rPr>
                <w:i/>
                <w:spacing w:val="-3"/>
                <w:lang w:val="es-ES"/>
              </w:rPr>
              <w:t xml:space="preserve"> los siguientes servicios educativos</w:t>
            </w:r>
            <w:r>
              <w:rPr>
                <w:i/>
                <w:lang w:val="es-ES"/>
              </w:rPr>
              <w:t>:</w:t>
            </w:r>
          </w:p>
          <w:p>
            <w:pPr>
              <w:pStyle w:val="TableParagraph"/>
              <w:widowControl w:val="false"/>
              <w:numPr>
                <w:ilvl w:val="0"/>
                <w:numId w:val="1"/>
              </w:numPr>
              <w:tabs>
                <w:tab w:val="clear" w:pos="720"/>
                <w:tab w:val="left" w:pos="314" w:leader="none"/>
              </w:tabs>
              <w:ind w:left="95" w:right="86" w:hanging="0"/>
              <w:jc w:val="both"/>
              <w:rPr>
                <w:lang w:val="es-ES"/>
              </w:rPr>
            </w:pPr>
            <w:r>
              <w:rPr>
                <w:i/>
                <w:lang w:val="es-ES"/>
              </w:rPr>
              <w:t>El colegio de acogida evaluará los logros educativos de los niños de edad escolar durante el primer mes (se evaluarán los que llegan durante el verano hasta el 1 de septiembre);</w:t>
            </w:r>
          </w:p>
          <w:p>
            <w:pPr>
              <w:pStyle w:val="TableParagraph"/>
              <w:widowControl w:val="false"/>
              <w:numPr>
                <w:ilvl w:val="0"/>
                <w:numId w:val="1"/>
              </w:numPr>
              <w:tabs>
                <w:tab w:val="clear" w:pos="720"/>
                <w:tab w:val="left" w:pos="329" w:leader="none"/>
              </w:tabs>
              <w:ind w:left="95" w:right="86" w:hanging="0"/>
              <w:jc w:val="both"/>
              <w:rPr>
                <w:lang w:val="es-ES"/>
              </w:rPr>
            </w:pPr>
            <w:r>
              <w:rPr>
                <w:i/>
                <w:lang w:val="es-ES"/>
              </w:rPr>
              <w:t>Una vez determinados los logros educativos, los niños comenzarán a estudiar junto con sus compañeros. Los niños tendrán la oportunidad de estudiar en clases (grupos) de recuperación;</w:t>
            </w:r>
          </w:p>
          <w:p>
            <w:pPr>
              <w:pStyle w:val="TableParagraph"/>
              <w:widowControl w:val="false"/>
              <w:numPr>
                <w:ilvl w:val="0"/>
                <w:numId w:val="1"/>
              </w:numPr>
              <w:tabs>
                <w:tab w:val="clear" w:pos="720"/>
                <w:tab w:val="left" w:pos="274" w:leader="none"/>
              </w:tabs>
              <w:ind w:left="95" w:right="87" w:hanging="0"/>
              <w:jc w:val="both"/>
              <w:rPr>
                <w:lang w:val="es-ES"/>
              </w:rPr>
            </w:pPr>
            <w:r>
              <w:rPr>
                <w:i/>
                <w:lang w:val="es-ES"/>
              </w:rPr>
              <w:t>Los niños asistirán a los programas de educación preescolar y primaria de acuerdo con el procedimiento establecido por la Ley de Educación. El Centro de Acogida de Refugiados, en cooperación con el Ministerio de Educación, Ciencia y Deportes, organizará la participación de las personas reasentadas en programas de educación formal e informal para niños y/o adultos.</w:t>
            </w:r>
          </w:p>
        </w:tc>
      </w:tr>
    </w:tbl>
    <w:p>
      <w:pPr>
        <w:sectPr>
          <w:type w:val="nextPage"/>
          <w:pgSz w:w="11906" w:h="16838"/>
          <w:pgMar w:left="1580" w:right="620" w:gutter="0" w:header="0" w:top="1580" w:footer="0" w:bottom="280"/>
          <w:pgNumType w:fmt="decimal"/>
          <w:formProt w:val="false"/>
          <w:textDirection w:val="lrTb"/>
          <w:docGrid w:type="default" w:linePitch="100" w:charSpace="8192"/>
        </w:sectPr>
      </w:pPr>
    </w:p>
    <w:p>
      <w:pPr>
        <w:pStyle w:val="Normal"/>
        <w:spacing w:before="9" w:after="0"/>
        <w:rPr>
          <w:b/>
          <w:b/>
          <w:i/>
          <w:i/>
          <w:sz w:val="9"/>
          <w:lang w:val="es-ES"/>
        </w:rPr>
      </w:pPr>
      <w:r>
        <w:rPr>
          <w:b/>
          <w:i/>
          <w:sz w:val="9"/>
          <w:lang w:val="es-ES"/>
        </w:rPr>
        <mc:AlternateContent>
          <mc:Choice Requires="wps">
            <w:drawing>
              <wp:anchor behindDoc="1" distT="0" distB="0" distL="0" distR="0" simplePos="0" locked="0" layoutInCell="0" allowOverlap="1" relativeHeight="22">
                <wp:simplePos x="0" y="0"/>
                <wp:positionH relativeFrom="page">
                  <wp:posOffset>4940300</wp:posOffset>
                </wp:positionH>
                <wp:positionV relativeFrom="page">
                  <wp:posOffset>7399655</wp:posOffset>
                </wp:positionV>
                <wp:extent cx="34925" cy="7620"/>
                <wp:effectExtent l="0" t="0" r="0" b="0"/>
                <wp:wrapNone/>
                <wp:docPr id="19" name="Rectangle 2"/>
                <a:graphic xmlns:a="http://schemas.openxmlformats.org/drawingml/2006/main">
                  <a:graphicData uri="http://schemas.microsoft.com/office/word/2010/wordprocessingShape">
                    <wps:wsp>
                      <wps:cNvSpPr/>
                      <wps:spPr>
                        <a:xfrm>
                          <a:off x="0" y="0"/>
                          <a:ext cx="349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black" stroked="f" o:allowincell="f" style="position:absolute;margin-left:389pt;margin-top:582.65pt;width:2.7pt;height:0.55pt;mso-wrap-style:none;v-text-anchor:middle;mso-position-horizontal-relative:page;mso-position-vertical-relative:page">
                <v:fill o:detectmouseclick="t" type="solid" color2="white"/>
                <v:stroke color="#3465a4" joinstyle="round" endcap="flat"/>
                <w10:wrap type="none"/>
              </v:rect>
            </w:pict>
          </mc:Fallback>
        </mc:AlternateContent>
      </w:r>
    </w:p>
    <w:tbl>
      <w:tblPr>
        <w:tblW w:w="8600" w:type="dxa"/>
        <w:jc w:val="left"/>
        <w:tblInd w:w="151" w:type="dxa"/>
        <w:tblLayout w:type="fixed"/>
        <w:tblCellMar>
          <w:top w:w="0" w:type="dxa"/>
          <w:left w:w="7" w:type="dxa"/>
          <w:bottom w:w="0" w:type="dxa"/>
          <w:right w:w="7" w:type="dxa"/>
        </w:tblCellMar>
        <w:tblLook w:firstRow="1" w:noVBand="0" w:lastRow="1" w:firstColumn="1" w:lastColumn="1" w:noHBand="0" w:val="01e0"/>
      </w:tblPr>
      <w:tblGrid>
        <w:gridCol w:w="4017"/>
        <w:gridCol w:w="4582"/>
      </w:tblGrid>
      <w:tr>
        <w:trPr>
          <w:trHeight w:val="1451" w:hRule="atLeast"/>
        </w:trPr>
        <w:tc>
          <w:tcPr>
            <w:tcW w:w="401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rPr>
                <w:b/>
                <w:b/>
                <w:i/>
                <w:i/>
                <w:lang w:val="es-ES"/>
              </w:rPr>
            </w:pPr>
            <w:r>
              <w:rPr>
                <w:b/>
                <w:i/>
                <w:lang w:val="es-ES"/>
              </w:rPr>
            </w:r>
          </w:p>
          <w:p>
            <w:pPr>
              <w:pStyle w:val="TableParagraph"/>
              <w:widowControl w:val="false"/>
              <w:ind w:left="1407" w:hanging="0"/>
              <w:rPr>
                <w:lang w:val="es-ES"/>
              </w:rPr>
            </w:pPr>
            <w:r>
              <w:rPr/>
              <w:drawing>
                <wp:inline distT="0" distB="0" distL="0" distR="0">
                  <wp:extent cx="748030" cy="387985"/>
                  <wp:effectExtent l="0" t="0" r="0" b="0"/>
                  <wp:docPr id="20" name="image18.jpeg" descr="Vaizdo rezultatas pagal užklausą „jo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descr="Vaizdo rezultatas pagal užklausą „job clipart“"/>
                          <pic:cNvPicPr>
                            <a:picLocks noChangeAspect="1" noChangeArrowheads="1"/>
                          </pic:cNvPicPr>
                        </pic:nvPicPr>
                        <pic:blipFill>
                          <a:blip r:embed="rId24"/>
                          <a:stretch>
                            <a:fillRect/>
                          </a:stretch>
                        </pic:blipFill>
                        <pic:spPr bwMode="auto">
                          <a:xfrm>
                            <a:off x="0" y="0"/>
                            <a:ext cx="748030" cy="387985"/>
                          </a:xfrm>
                          <a:prstGeom prst="rect">
                            <a:avLst/>
                          </a:prstGeom>
                        </pic:spPr>
                      </pic:pic>
                    </a:graphicData>
                  </a:graphic>
                </wp:inline>
              </w:drawing>
            </w:r>
          </w:p>
          <w:p>
            <w:pPr>
              <w:pStyle w:val="TableParagraph"/>
              <w:widowControl w:val="false"/>
              <w:ind w:left="119" w:right="116" w:hanging="0"/>
              <w:jc w:val="center"/>
              <w:rPr>
                <w:lang w:val="es-ES"/>
              </w:rPr>
            </w:pPr>
            <w:r>
              <w:rPr>
                <w:b/>
                <w:i/>
                <w:sz w:val="28"/>
                <w:lang w:val="es-ES"/>
              </w:rPr>
              <w:t>Cualificación profesional</w:t>
            </w:r>
          </w:p>
        </w:tc>
        <w:tc>
          <w:tcPr>
            <w:tcW w:w="4582"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 w:after="0"/>
              <w:rPr>
                <w:b/>
                <w:b/>
                <w:i/>
                <w:i/>
                <w:sz w:val="30"/>
                <w:lang w:val="es-ES"/>
              </w:rPr>
            </w:pPr>
            <w:r>
              <w:rPr>
                <w:b/>
                <w:i/>
                <w:sz w:val="30"/>
                <w:lang w:val="es-ES"/>
              </w:rPr>
            </w:r>
          </w:p>
          <w:p>
            <w:pPr>
              <w:pStyle w:val="TableParagraph"/>
              <w:widowControl w:val="false"/>
              <w:ind w:left="95" w:right="367" w:hanging="0"/>
              <w:rPr>
                <w:lang w:val="es-ES"/>
              </w:rPr>
            </w:pPr>
            <w:r>
              <w:rPr>
                <w:i/>
                <w:lang w:val="es-ES"/>
              </w:rPr>
              <w:t>El Centro de Acogida de Refugiados presta asistencia y actúa como intermediario en la identificación de necesidades de formación y cualificación profesional.</w:t>
            </w:r>
          </w:p>
        </w:tc>
      </w:tr>
      <w:tr>
        <w:trPr>
          <w:trHeight w:val="3037" w:hRule="atLeast"/>
        </w:trPr>
        <w:tc>
          <w:tcPr>
            <w:tcW w:w="4017"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10" w:after="1"/>
              <w:rPr>
                <w:b/>
                <w:b/>
                <w:i/>
                <w:i/>
                <w:sz w:val="10"/>
                <w:lang w:val="es-ES"/>
              </w:rPr>
            </w:pPr>
            <w:r>
              <w:rPr>
                <w:b/>
                <w:i/>
                <w:sz w:val="10"/>
                <w:lang w:val="es-ES"/>
              </w:rPr>
            </w:r>
          </w:p>
          <w:p>
            <w:pPr>
              <w:pStyle w:val="TableParagraph"/>
              <w:widowControl w:val="false"/>
              <w:ind w:left="1350" w:hanging="0"/>
              <w:rPr>
                <w:lang w:val="es-ES"/>
              </w:rPr>
            </w:pPr>
            <w:r>
              <w:rPr/>
              <w:drawing>
                <wp:inline distT="0" distB="0" distL="0" distR="0">
                  <wp:extent cx="826135" cy="566420"/>
                  <wp:effectExtent l="0" t="0" r="0" b="0"/>
                  <wp:docPr id="2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2" descr=""/>
                          <pic:cNvPicPr>
                            <a:picLocks noChangeAspect="1" noChangeArrowheads="1"/>
                          </pic:cNvPicPr>
                        </pic:nvPicPr>
                        <pic:blipFill>
                          <a:blip r:embed="rId25"/>
                          <a:stretch>
                            <a:fillRect/>
                          </a:stretch>
                        </pic:blipFill>
                        <pic:spPr bwMode="auto">
                          <a:xfrm>
                            <a:off x="0" y="0"/>
                            <a:ext cx="826135" cy="566420"/>
                          </a:xfrm>
                          <a:prstGeom prst="rect">
                            <a:avLst/>
                          </a:prstGeom>
                        </pic:spPr>
                      </pic:pic>
                    </a:graphicData>
                  </a:graphic>
                </wp:inline>
              </w:drawing>
            </w:r>
          </w:p>
          <w:p>
            <w:pPr>
              <w:pStyle w:val="TableParagraph"/>
              <w:widowControl w:val="false"/>
              <w:spacing w:before="7" w:after="0"/>
              <w:ind w:left="119" w:right="114" w:hanging="0"/>
              <w:jc w:val="center"/>
              <w:rPr>
                <w:lang w:val="es-ES"/>
              </w:rPr>
            </w:pPr>
            <w:r>
              <w:rPr>
                <w:b/>
                <w:i/>
                <w:sz w:val="28"/>
                <w:lang w:val="es-ES"/>
              </w:rPr>
              <w:t>Departamento de Migración: presentación de solicitud para permiso de residencia en Lituania</w:t>
            </w:r>
          </w:p>
        </w:tc>
        <w:tc>
          <w:tcPr>
            <w:tcW w:w="4582"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10" w:after="0"/>
              <w:rPr>
                <w:b/>
                <w:b/>
                <w:i/>
                <w:i/>
                <w:sz w:val="21"/>
                <w:lang w:val="es-ES"/>
              </w:rPr>
            </w:pPr>
            <w:r>
              <w:rPr>
                <w:b/>
                <w:i/>
                <w:sz w:val="21"/>
                <w:lang w:val="es-ES"/>
              </w:rPr>
            </w:r>
          </w:p>
          <w:p>
            <w:pPr>
              <w:pStyle w:val="TableParagraph"/>
              <w:widowControl w:val="false"/>
              <w:spacing w:lineRule="exact" w:line="252" w:before="5" w:after="0"/>
              <w:ind w:left="95" w:right="263" w:hanging="0"/>
              <w:rPr/>
            </w:pPr>
            <w:r>
              <w:rPr>
                <w:i/>
                <w:lang w:val="es-ES"/>
              </w:rPr>
              <w:t xml:space="preserve">Persona que llega a la República de Lituania, dentro de 1 mes a partir de la fecha de su llegada, o persona que está alojada en la República de Lituania, dentro de 1 mes a partir de la fecha de </w:t>
            </w:r>
            <w:r>
              <w:rPr>
                <w:rStyle w:val="Destaquemayor"/>
                <w:b w:val="false"/>
                <w:bCs w:val="false"/>
                <w:i/>
                <w:iCs/>
                <w:lang w:val="es-ES"/>
              </w:rPr>
              <w:t xml:space="preserve">la condición de reasentado, </w:t>
            </w:r>
            <w:r>
              <w:rPr>
                <w:i/>
                <w:lang w:val="es-ES"/>
              </w:rPr>
              <w:t>deberá solicitar al Departamento de Migración un documento que confirme u otorgue al extranjero el derecho a residencia permanentemente en la República de Lituania, o en caso de que un ciudadano de la República de Lituania (a partir de 16 años) no tenga una tarjeta de identidad o pasaporte vigentes tendrá que solicitar expedición de estos documentos.</w:t>
            </w:r>
          </w:p>
        </w:tc>
      </w:tr>
      <w:tr>
        <w:trPr>
          <w:trHeight w:val="1453" w:hRule="atLeast"/>
        </w:trPr>
        <w:tc>
          <w:tcPr>
            <w:tcW w:w="4017" w:type="dxa"/>
            <w:tcBorders>
              <w:top w:val="double" w:sz="2" w:space="0" w:color="000000"/>
              <w:left w:val="double" w:sz="2" w:space="0" w:color="000000"/>
              <w:bottom w:val="double" w:sz="2" w:space="0" w:color="000000"/>
              <w:right w:val="double" w:sz="2" w:space="0" w:color="000000"/>
            </w:tcBorders>
          </w:tcPr>
          <w:p>
            <w:pPr>
              <w:pStyle w:val="TableParagraph"/>
              <w:widowControl w:val="false"/>
              <w:spacing w:before="6" w:after="0"/>
              <w:rPr>
                <w:b/>
                <w:b/>
                <w:i/>
                <w:i/>
                <w:sz w:val="13"/>
                <w:lang w:val="es-ES"/>
              </w:rPr>
            </w:pPr>
            <w:r>
              <w:rPr>
                <w:b/>
                <w:i/>
                <w:sz w:val="13"/>
                <w:lang w:val="es-ES"/>
              </w:rPr>
            </w:r>
          </w:p>
          <w:p>
            <w:pPr>
              <w:pStyle w:val="TableParagraph"/>
              <w:widowControl w:val="false"/>
              <w:ind w:left="1726" w:hanging="0"/>
              <w:rPr>
                <w:lang w:val="es-ES"/>
              </w:rPr>
            </w:pPr>
            <w:r>
              <w:rPr/>
              <w:drawing>
                <wp:inline distT="0" distB="0" distL="0" distR="0">
                  <wp:extent cx="367030" cy="301625"/>
                  <wp:effectExtent l="0" t="0" r="0" b="0"/>
                  <wp:docPr id="22" name="image1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descr=""/>
                          <pic:cNvPicPr>
                            <a:picLocks noChangeAspect="1" noChangeArrowheads="1"/>
                          </pic:cNvPicPr>
                        </pic:nvPicPr>
                        <pic:blipFill>
                          <a:blip r:embed="rId26"/>
                          <a:stretch>
                            <a:fillRect/>
                          </a:stretch>
                        </pic:blipFill>
                        <pic:spPr bwMode="auto">
                          <a:xfrm>
                            <a:off x="0" y="0"/>
                            <a:ext cx="367030" cy="301625"/>
                          </a:xfrm>
                          <a:prstGeom prst="rect">
                            <a:avLst/>
                          </a:prstGeom>
                        </pic:spPr>
                      </pic:pic>
                    </a:graphicData>
                  </a:graphic>
                </wp:inline>
              </w:drawing>
            </w:r>
          </w:p>
          <w:p>
            <w:pPr>
              <w:pStyle w:val="TableParagraph"/>
              <w:widowControl w:val="false"/>
              <w:spacing w:before="178" w:after="0"/>
              <w:ind w:left="119" w:right="114" w:hanging="0"/>
              <w:jc w:val="center"/>
              <w:rPr>
                <w:lang w:val="es-ES"/>
              </w:rPr>
            </w:pPr>
            <w:r>
              <w:rPr>
                <w:b/>
                <w:i/>
                <w:sz w:val="28"/>
                <w:lang w:val="es-ES"/>
              </w:rPr>
              <w:t>Cuenta bancaria personal</w:t>
            </w:r>
          </w:p>
        </w:tc>
        <w:tc>
          <w:tcPr>
            <w:tcW w:w="4582"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30"/>
                <w:lang w:val="es-ES"/>
              </w:rPr>
            </w:pPr>
            <w:r>
              <w:rPr>
                <w:b/>
                <w:i/>
                <w:sz w:val="30"/>
                <w:lang w:val="es-ES"/>
              </w:rPr>
            </w:r>
          </w:p>
          <w:p>
            <w:pPr>
              <w:pStyle w:val="TableParagraph"/>
              <w:widowControl w:val="false"/>
              <w:ind w:left="95" w:right="740" w:hanging="0"/>
              <w:rPr>
                <w:lang w:val="es-ES"/>
              </w:rPr>
            </w:pPr>
            <w:r>
              <w:rPr>
                <w:i/>
                <w:lang w:val="es-ES"/>
              </w:rPr>
              <w:t>El Centro de Acogida de Refugiados ayuda a las personas reasentadas a abrir una cuenta bancaria.</w:t>
            </w:r>
          </w:p>
        </w:tc>
      </w:tr>
      <w:tr>
        <w:trPr>
          <w:trHeight w:val="3035" w:hRule="atLeast"/>
        </w:trPr>
        <w:tc>
          <w:tcPr>
            <w:tcW w:w="4017"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5" w:after="1"/>
              <w:rPr>
                <w:b/>
                <w:b/>
                <w:i/>
                <w:i/>
                <w:sz w:val="17"/>
                <w:lang w:val="es-ES"/>
              </w:rPr>
            </w:pPr>
            <w:r>
              <w:rPr>
                <w:b/>
                <w:i/>
                <w:sz w:val="17"/>
                <w:lang w:val="es-ES"/>
              </w:rPr>
            </w:r>
          </w:p>
          <w:p>
            <w:pPr>
              <w:pStyle w:val="TableParagraph"/>
              <w:widowControl w:val="false"/>
              <w:ind w:left="1452" w:hanging="0"/>
              <w:rPr>
                <w:lang w:val="es-ES"/>
              </w:rPr>
            </w:pPr>
            <w:r>
              <w:rPr/>
              <w:drawing>
                <wp:inline distT="0" distB="0" distL="0" distR="0">
                  <wp:extent cx="735330" cy="591820"/>
                  <wp:effectExtent l="0" t="0" r="0" b="0"/>
                  <wp:docPr id="23" name="image2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0.jpeg" descr=""/>
                          <pic:cNvPicPr>
                            <a:picLocks noChangeAspect="1" noChangeArrowheads="1"/>
                          </pic:cNvPicPr>
                        </pic:nvPicPr>
                        <pic:blipFill>
                          <a:blip r:embed="rId27"/>
                          <a:stretch>
                            <a:fillRect/>
                          </a:stretch>
                        </pic:blipFill>
                        <pic:spPr bwMode="auto">
                          <a:xfrm>
                            <a:off x="0" y="0"/>
                            <a:ext cx="735330" cy="591820"/>
                          </a:xfrm>
                          <a:prstGeom prst="rect">
                            <a:avLst/>
                          </a:prstGeom>
                        </pic:spPr>
                      </pic:pic>
                    </a:graphicData>
                  </a:graphic>
                </wp:inline>
              </w:drawing>
            </w:r>
          </w:p>
          <w:p>
            <w:pPr>
              <w:pStyle w:val="TableParagraph"/>
              <w:widowControl w:val="false"/>
              <w:ind w:left="119" w:right="117" w:hanging="0"/>
              <w:jc w:val="center"/>
              <w:rPr>
                <w:lang w:val="es-ES"/>
              </w:rPr>
            </w:pPr>
            <w:r>
              <w:rPr>
                <w:b/>
                <w:i/>
                <w:color w:val="111827"/>
                <w:sz w:val="28"/>
                <w:lang w:val="es-ES"/>
              </w:rPr>
              <w:t>Registro en el servicio de empleo</w:t>
            </w:r>
            <w:r>
              <w:rPr>
                <w:b/>
                <w:i/>
                <w:sz w:val="28"/>
                <w:lang w:val="es-ES"/>
              </w:rPr>
              <w:t xml:space="preserve"> </w:t>
            </w:r>
          </w:p>
        </w:tc>
        <w:tc>
          <w:tcPr>
            <w:tcW w:w="4582" w:type="dxa"/>
            <w:tcBorders>
              <w:top w:val="double" w:sz="2" w:space="0" w:color="000000"/>
              <w:left w:val="double" w:sz="2" w:space="0" w:color="000000"/>
              <w:bottom w:val="single" w:sz="12" w:space="0" w:color="000000"/>
              <w:right w:val="double" w:sz="2" w:space="0" w:color="000000"/>
            </w:tcBorders>
          </w:tcPr>
          <w:p>
            <w:pPr>
              <w:pStyle w:val="TableParagraph"/>
              <w:widowControl w:val="false"/>
              <w:ind w:left="95" w:right="88" w:hanging="0"/>
              <w:jc w:val="both"/>
              <w:rPr>
                <w:lang w:val="es-ES"/>
              </w:rPr>
            </w:pPr>
            <w:r>
              <w:rPr>
                <w:i/>
                <w:lang w:val="es-ES"/>
              </w:rPr>
              <w:t xml:space="preserve">Hasta que el reasentado reciba un documento que confirme u otorgue al extranjero el derecho a vivir permanentemente en la República de Lituania, él tendrá derecho a recibir servicios de información y asesoramiento del Servicio de Empleo sobre el empleo y las oportunidades de trabajo en la República de Lituania. </w:t>
            </w:r>
          </w:p>
          <w:p>
            <w:pPr>
              <w:pStyle w:val="TableParagraph"/>
              <w:widowControl w:val="false"/>
              <w:spacing w:lineRule="exact" w:line="252"/>
              <w:ind w:left="95" w:hanging="0"/>
              <w:rPr>
                <w:lang w:val="es-ES"/>
              </w:rPr>
            </w:pPr>
            <w:r>
              <w:rPr>
                <w:b/>
                <w:i/>
                <w:u w:val="thick"/>
                <w:lang w:val="es-ES"/>
              </w:rPr>
              <w:t>Cualquier persona que tenga la nacionalidad de la República de Lituania y cualquier persona con permiso de residencia en la República de Lituania que está en situación de búsqueda de trabajo o necesita otros servicios proporcionados por el Servicio de Empleo, podrá darse de alta en su registro.</w:t>
            </w:r>
          </w:p>
          <w:p>
            <w:pPr>
              <w:pStyle w:val="TableParagraph"/>
              <w:widowControl w:val="false"/>
              <w:spacing w:lineRule="exact" w:line="252" w:before="5" w:after="0"/>
              <w:ind w:left="95" w:right="153" w:hanging="0"/>
              <w:rPr>
                <w:lang w:val="es-ES"/>
              </w:rPr>
            </w:pPr>
            <w:r>
              <w:rPr>
                <w:b/>
                <w:i/>
                <w:u w:val="single"/>
                <w:lang w:val="es-ES"/>
              </w:rPr>
              <w:t>El objetivo principal del Servicio de Empleo es ayudar a las personas</w:t>
            </w:r>
            <w:r>
              <w:rPr>
                <w:b/>
                <w:i/>
                <w:lang w:val="es-ES"/>
              </w:rPr>
              <w:t xml:space="preserve"> a encontrar empleo.</w:t>
            </w:r>
          </w:p>
        </w:tc>
      </w:tr>
      <w:tr>
        <w:trPr>
          <w:trHeight w:val="2365" w:hRule="atLeast"/>
        </w:trPr>
        <w:tc>
          <w:tcPr>
            <w:tcW w:w="4017" w:type="dxa"/>
            <w:tcBorders>
              <w:top w:val="double" w:sz="2" w:space="0" w:color="000000"/>
              <w:left w:val="double" w:sz="2" w:space="0" w:color="000000"/>
              <w:bottom w:val="double" w:sz="2" w:space="0" w:color="000000"/>
              <w:right w:val="double" w:sz="2" w:space="0" w:color="000000"/>
            </w:tcBorders>
          </w:tcPr>
          <w:p>
            <w:pPr>
              <w:pStyle w:val="TableParagraph"/>
              <w:widowControl w:val="false"/>
              <w:rPr>
                <w:b/>
                <w:b/>
                <w:i/>
                <w:i/>
                <w:sz w:val="20"/>
                <w:lang w:val="es-ES"/>
              </w:rPr>
            </w:pPr>
            <w:r>
              <w:rPr>
                <w:b/>
                <w:i/>
                <w:sz w:val="20"/>
                <w:lang w:val="es-ES"/>
              </w:rPr>
            </w:r>
          </w:p>
          <w:p>
            <w:pPr>
              <w:pStyle w:val="TableParagraph"/>
              <w:widowControl w:val="false"/>
              <w:rPr>
                <w:b/>
                <w:b/>
                <w:i/>
                <w:i/>
                <w:sz w:val="20"/>
                <w:lang w:val="es-ES"/>
              </w:rPr>
            </w:pPr>
            <w:r>
              <w:rPr>
                <w:b/>
                <w:i/>
                <w:sz w:val="20"/>
                <w:lang w:val="es-ES"/>
              </w:rPr>
            </w:r>
          </w:p>
          <w:p>
            <w:pPr>
              <w:pStyle w:val="TableParagraph"/>
              <w:widowControl w:val="false"/>
              <w:spacing w:before="6" w:after="0"/>
              <w:rPr>
                <w:b/>
                <w:b/>
                <w:i/>
                <w:i/>
                <w:sz w:val="13"/>
                <w:lang w:val="es-ES"/>
              </w:rPr>
            </w:pPr>
            <w:r>
              <w:rPr>
                <w:b/>
                <w:i/>
                <w:sz w:val="13"/>
                <w:lang w:val="es-ES"/>
              </w:rPr>
            </w:r>
          </w:p>
          <w:p>
            <w:pPr>
              <w:pStyle w:val="TableParagraph"/>
              <w:widowControl w:val="false"/>
              <w:ind w:left="1578" w:hanging="0"/>
              <w:rPr>
                <w:lang w:val="es-ES"/>
              </w:rPr>
            </w:pPr>
            <w:r>
              <w:rPr/>
              <w:drawing>
                <wp:inline distT="0" distB="0" distL="0" distR="0">
                  <wp:extent cx="513080" cy="509905"/>
                  <wp:effectExtent l="0" t="0" r="0" b="0"/>
                  <wp:docPr id="24" name="image21.png" descr="Vaizdo rezultatas pagal užklausą „house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descr="Vaizdo rezultatas pagal užklausą „house rent clipart“"/>
                          <pic:cNvPicPr>
                            <a:picLocks noChangeAspect="1" noChangeArrowheads="1"/>
                          </pic:cNvPicPr>
                        </pic:nvPicPr>
                        <pic:blipFill>
                          <a:blip r:embed="rId28"/>
                          <a:stretch>
                            <a:fillRect/>
                          </a:stretch>
                        </pic:blipFill>
                        <pic:spPr bwMode="auto">
                          <a:xfrm>
                            <a:off x="0" y="0"/>
                            <a:ext cx="513080" cy="509905"/>
                          </a:xfrm>
                          <a:prstGeom prst="rect">
                            <a:avLst/>
                          </a:prstGeom>
                        </pic:spPr>
                      </pic:pic>
                    </a:graphicData>
                  </a:graphic>
                </wp:inline>
              </w:drawing>
            </w:r>
          </w:p>
          <w:p>
            <w:pPr>
              <w:pStyle w:val="TableParagraph"/>
              <w:widowControl w:val="false"/>
              <w:spacing w:before="50" w:after="0"/>
              <w:ind w:left="119" w:right="116" w:hanging="0"/>
              <w:jc w:val="center"/>
              <w:rPr>
                <w:lang w:val="es-ES"/>
              </w:rPr>
            </w:pPr>
            <w:r>
              <w:rPr>
                <w:b/>
                <w:i/>
                <w:color w:val="111827"/>
                <w:sz w:val="28"/>
                <w:lang w:val="es-ES"/>
              </w:rPr>
              <w:t xml:space="preserve">Asistencia en el proceso de alquiler de la vivienda </w:t>
            </w:r>
          </w:p>
        </w:tc>
        <w:tc>
          <w:tcPr>
            <w:tcW w:w="4582" w:type="dxa"/>
            <w:tcBorders>
              <w:top w:val="single" w:sz="12" w:space="0" w:color="000000"/>
              <w:left w:val="double" w:sz="2" w:space="0" w:color="000000"/>
              <w:bottom w:val="double" w:sz="2" w:space="0" w:color="000000"/>
              <w:right w:val="double" w:sz="2" w:space="0" w:color="000000"/>
            </w:tcBorders>
          </w:tcPr>
          <w:p>
            <w:pPr>
              <w:pStyle w:val="TableParagraph"/>
              <w:widowControl w:val="false"/>
              <w:spacing w:before="168" w:after="0"/>
              <w:ind w:left="95" w:right="122" w:hanging="0"/>
              <w:rPr>
                <w:lang w:val="es-ES"/>
              </w:rPr>
            </w:pPr>
            <w:r>
              <w:rPr>
                <w:i/>
                <w:lang w:val="es-ES"/>
              </w:rPr>
              <w:t xml:space="preserve">Una persona reasentada que, después de llegar a la República de Lituania, fue alojada en el Centro de Acogida de Refugiados o en alojamientos proporcionados por este, tendrá que encontrar vivienda en el territorio del municipio de su elección e instalarse en ella dentro de los 4 meses siguientes a la fecha de firma del contrato, </w:t>
            </w:r>
            <w:r>
              <w:rPr>
                <w:b/>
                <w:bCs/>
                <w:i/>
                <w:u w:val="single"/>
                <w:lang w:val="es-ES"/>
              </w:rPr>
              <w:t>ya sea por sí mismo o por mediación del Centro de Acogida de Refugiados.</w:t>
            </w:r>
          </w:p>
        </w:tc>
      </w:tr>
    </w:tbl>
    <w:p>
      <w:pPr>
        <w:sectPr>
          <w:type w:val="nextPage"/>
          <w:pgSz w:w="11906" w:h="16838"/>
          <w:pgMar w:left="1580" w:right="620" w:gutter="0" w:header="0" w:top="1580" w:footer="0" w:bottom="280"/>
          <w:pgNumType w:fmt="decimal"/>
          <w:formProt w:val="false"/>
          <w:textDirection w:val="lrTb"/>
          <w:docGrid w:type="default" w:linePitch="100" w:charSpace="8192"/>
        </w:sectPr>
      </w:pPr>
    </w:p>
    <w:p>
      <w:pPr>
        <w:pStyle w:val="Ttulo2"/>
        <w:spacing w:before="102" w:after="0"/>
        <w:ind w:left="3032" w:right="2855" w:hanging="0"/>
        <w:jc w:val="center"/>
        <w:rPr>
          <w:lang w:val="es-ES"/>
        </w:rPr>
      </w:pPr>
      <w:r>
        <w:rPr>
          <w:lang w:val="es-ES"/>
        </w:rPr>
        <w:t>Cantidades de Subsidios Dinerarios</w:t>
      </w:r>
    </w:p>
    <w:p>
      <w:pPr>
        <w:pStyle w:val="Normal"/>
        <w:rPr>
          <w:b/>
          <w:b/>
          <w:i/>
          <w:i/>
          <w:sz w:val="30"/>
          <w:lang w:val="es-ES"/>
        </w:rPr>
      </w:pPr>
      <w:r>
        <w:rPr>
          <w:b/>
          <w:i/>
          <w:sz w:val="30"/>
          <w:lang w:val="es-ES"/>
        </w:rPr>
      </w:r>
    </w:p>
    <w:p>
      <w:pPr>
        <w:pStyle w:val="Cuerpodetexto"/>
        <w:ind w:left="122" w:hanging="0"/>
        <w:rPr/>
      </w:pPr>
      <w:r>
        <w:rPr>
          <w:rStyle w:val="Destaquemayor"/>
          <w:b/>
          <w:bCs/>
          <w:lang w:val="es-ES"/>
        </w:rPr>
        <w:t>Subsidio único en concepto de establecimiento</w:t>
      </w:r>
      <w:r>
        <w:rPr>
          <w:strike/>
          <w:lang w:val="es-ES"/>
        </w:rPr>
        <w:t>:</w:t>
      </w:r>
    </w:p>
    <w:p>
      <w:pPr>
        <w:pStyle w:val="Normal"/>
        <w:spacing w:before="0" w:after="1"/>
        <w:rPr>
          <w:b/>
          <w:b/>
          <w:i/>
          <w:i/>
          <w:sz w:val="16"/>
          <w:lang w:val="es-ES"/>
        </w:rPr>
      </w:pPr>
      <w:r>
        <w:rPr>
          <w:b/>
          <w:i/>
          <w:sz w:val="16"/>
          <w:lang w:val="es-ES"/>
        </w:rPr>
      </w:r>
    </w:p>
    <w:tbl>
      <w:tblPr>
        <w:tblW w:w="8186" w:type="dxa"/>
        <w:jc w:val="left"/>
        <w:tblInd w:w="141" w:type="dxa"/>
        <w:tblLayout w:type="fixed"/>
        <w:tblCellMar>
          <w:top w:w="0" w:type="dxa"/>
          <w:left w:w="10" w:type="dxa"/>
          <w:bottom w:w="0" w:type="dxa"/>
          <w:right w:w="10" w:type="dxa"/>
        </w:tblCellMar>
        <w:tblLook w:firstRow="1" w:noVBand="0" w:lastRow="1" w:firstColumn="1" w:lastColumn="1" w:noHBand="0" w:val="01e0"/>
      </w:tblPr>
      <w:tblGrid>
        <w:gridCol w:w="4815"/>
        <w:gridCol w:w="3370"/>
      </w:tblGrid>
      <w:tr>
        <w:trPr>
          <w:trHeight w:val="316" w:hRule="atLeast"/>
        </w:trPr>
        <w:tc>
          <w:tcPr>
            <w:tcW w:w="8185" w:type="dxa"/>
            <w:gridSpan w:val="2"/>
            <w:tcBorders>
              <w:top w:val="single" w:sz="8" w:space="0" w:color="000000"/>
              <w:left w:val="single" w:sz="8" w:space="0" w:color="000000"/>
              <w:bottom w:val="single" w:sz="8" w:space="0" w:color="000000"/>
              <w:right w:val="single" w:sz="8" w:space="0" w:color="000000"/>
            </w:tcBorders>
            <w:shd w:color="auto" w:fill="A6A6A6" w:val="clear"/>
          </w:tcPr>
          <w:p>
            <w:pPr>
              <w:pStyle w:val="TableParagraph"/>
              <w:widowControl w:val="false"/>
              <w:spacing w:before="32" w:after="0"/>
              <w:ind w:left="2265" w:right="2248" w:hanging="0"/>
              <w:jc w:val="center"/>
              <w:rPr/>
            </w:pPr>
            <w:r>
              <w:rPr>
                <w:b/>
                <w:i/>
                <w:lang w:val="es-ES"/>
              </w:rPr>
              <w:t>Cantidades de subsidio</w:t>
            </w:r>
            <w:r>
              <w:rPr>
                <w:rStyle w:val="Destaquemayor"/>
                <w:bCs w:val="false"/>
                <w:i/>
                <w:iCs/>
                <w:sz w:val="20"/>
                <w:lang w:val="es-ES"/>
              </w:rPr>
              <w:t xml:space="preserve"> único en concepto de establecimiento</w:t>
            </w:r>
          </w:p>
        </w:tc>
      </w:tr>
      <w:tr>
        <w:trPr>
          <w:trHeight w:val="315" w:hRule="atLeast"/>
        </w:trPr>
        <w:tc>
          <w:tcPr>
            <w:tcW w:w="481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2" w:after="0"/>
              <w:ind w:left="107" w:hanging="0"/>
              <w:rPr>
                <w:lang w:val="es-ES"/>
              </w:rPr>
            </w:pPr>
            <w:r>
              <w:rPr>
                <w:i/>
                <w:lang w:val="es-ES"/>
              </w:rPr>
              <w:t>Para personas mayores</w:t>
            </w:r>
          </w:p>
        </w:tc>
        <w:tc>
          <w:tcPr>
            <w:tcW w:w="337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2" w:after="0"/>
              <w:ind w:left="569" w:right="550" w:hanging="0"/>
              <w:jc w:val="center"/>
              <w:rPr>
                <w:lang w:val="es-ES"/>
              </w:rPr>
            </w:pPr>
            <w:r>
              <w:rPr>
                <w:i/>
                <w:lang w:val="es-ES"/>
              </w:rPr>
              <w:t>147 € x 2 IGE =294 €</w:t>
            </w:r>
          </w:p>
        </w:tc>
      </w:tr>
      <w:tr>
        <w:trPr>
          <w:trHeight w:val="315" w:hRule="atLeast"/>
        </w:trPr>
        <w:tc>
          <w:tcPr>
            <w:tcW w:w="481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2" w:after="0"/>
              <w:ind w:left="107" w:hanging="0"/>
              <w:rPr>
                <w:lang w:val="es-ES"/>
              </w:rPr>
            </w:pPr>
            <w:r>
              <w:rPr>
                <w:i/>
                <w:lang w:val="es-ES"/>
              </w:rPr>
              <w:t>Para menores</w:t>
            </w:r>
          </w:p>
        </w:tc>
        <w:tc>
          <w:tcPr>
            <w:tcW w:w="337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2" w:after="0"/>
              <w:ind w:left="569" w:right="550" w:hanging="0"/>
              <w:jc w:val="center"/>
              <w:rPr>
                <w:lang w:val="es-ES"/>
              </w:rPr>
            </w:pPr>
            <w:r>
              <w:rPr>
                <w:i/>
                <w:lang w:val="es-ES"/>
              </w:rPr>
              <w:t>147 € x 1 IGE =147 €</w:t>
            </w:r>
          </w:p>
        </w:tc>
      </w:tr>
      <w:tr>
        <w:trPr>
          <w:trHeight w:val="318" w:hRule="atLeast"/>
        </w:trPr>
        <w:tc>
          <w:tcPr>
            <w:tcW w:w="4815"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2" w:after="0"/>
              <w:ind w:left="107" w:hanging="0"/>
              <w:rPr>
                <w:lang w:val="es-ES"/>
              </w:rPr>
            </w:pPr>
            <w:r>
              <w:rPr>
                <w:i/>
                <w:lang w:val="es-ES"/>
              </w:rPr>
              <w:t>Para menores no acompañados</w:t>
            </w:r>
          </w:p>
        </w:tc>
        <w:tc>
          <w:tcPr>
            <w:tcW w:w="3370" w:type="dxa"/>
            <w:tcBorders>
              <w:top w:val="single" w:sz="8" w:space="0" w:color="000000"/>
              <w:left w:val="single" w:sz="8" w:space="0" w:color="000000"/>
              <w:bottom w:val="single" w:sz="8" w:space="0" w:color="000000"/>
              <w:right w:val="single" w:sz="8" w:space="0" w:color="000000"/>
            </w:tcBorders>
          </w:tcPr>
          <w:p>
            <w:pPr>
              <w:pStyle w:val="TableParagraph"/>
              <w:widowControl w:val="false"/>
              <w:spacing w:before="32" w:after="0"/>
              <w:ind w:left="570" w:right="550" w:hanging="0"/>
              <w:jc w:val="center"/>
              <w:rPr>
                <w:lang w:val="es-ES"/>
              </w:rPr>
            </w:pPr>
            <w:r>
              <w:rPr>
                <w:i/>
                <w:lang w:val="es-ES"/>
              </w:rPr>
              <w:t>147 € x 11 IGE =1617 €</w:t>
            </w:r>
          </w:p>
        </w:tc>
      </w:tr>
    </w:tbl>
    <w:p>
      <w:pPr>
        <w:pStyle w:val="Normal"/>
        <w:spacing w:before="6" w:after="0"/>
        <w:rPr>
          <w:b/>
          <w:b/>
          <w:i/>
          <w:i/>
          <w:sz w:val="37"/>
          <w:lang w:val="es-ES"/>
        </w:rPr>
      </w:pPr>
      <w:r>
        <w:rPr>
          <w:b/>
          <w:i/>
          <w:sz w:val="37"/>
          <w:lang w:val="es-ES"/>
        </w:rPr>
      </w:r>
    </w:p>
    <w:p>
      <w:pPr>
        <w:pStyle w:val="Cuerpodetexto"/>
        <w:ind w:left="122" w:hanging="0"/>
        <w:rPr/>
      </w:pPr>
      <w:r>
        <w:rPr>
          <w:lang w:val="es-ES"/>
        </w:rPr>
        <w:t xml:space="preserve">Subsidios dinerarios mensuales </w:t>
      </w:r>
      <w:r>
        <w:rPr>
          <w:rStyle w:val="Destaquemayor"/>
          <w:b/>
          <w:bCs/>
          <w:lang w:val="es-ES"/>
        </w:rPr>
        <w:t>en concepto de</w:t>
      </w:r>
      <w:r>
        <w:rPr>
          <w:lang w:val="es-ES"/>
        </w:rPr>
        <w:t xml:space="preserve"> necesidades esenciales</w:t>
      </w:r>
      <w:r>
        <w:rPr>
          <w:strike/>
          <w:lang w:val="es-ES"/>
        </w:rPr>
        <w:t>:</w:t>
      </w:r>
    </w:p>
    <w:p>
      <w:pPr>
        <w:pStyle w:val="Normal"/>
        <w:spacing w:before="3" w:after="1"/>
        <w:rPr>
          <w:b/>
          <w:b/>
          <w:i/>
          <w:i/>
          <w:sz w:val="16"/>
          <w:lang w:val="es-ES"/>
        </w:rPr>
      </w:pPr>
      <w:r>
        <w:rPr>
          <w:b/>
          <w:i/>
          <w:sz w:val="16"/>
          <w:lang w:val="es-ES"/>
        </w:rPr>
      </w:r>
    </w:p>
    <w:tbl>
      <w:tblPr>
        <w:tblW w:w="8201" w:type="dxa"/>
        <w:jc w:val="left"/>
        <w:tblInd w:w="138" w:type="dxa"/>
        <w:tblLayout w:type="fixed"/>
        <w:tblCellMar>
          <w:top w:w="0" w:type="dxa"/>
          <w:left w:w="7" w:type="dxa"/>
          <w:bottom w:w="0" w:type="dxa"/>
          <w:right w:w="7" w:type="dxa"/>
        </w:tblCellMar>
        <w:tblLook w:firstRow="1" w:noVBand="0" w:lastRow="1" w:firstColumn="1" w:lastColumn="1" w:noHBand="0" w:val="01e0"/>
      </w:tblPr>
      <w:tblGrid>
        <w:gridCol w:w="3022"/>
        <w:gridCol w:w="1477"/>
        <w:gridCol w:w="3702"/>
      </w:tblGrid>
      <w:tr>
        <w:trPr>
          <w:trHeight w:val="887" w:hRule="atLeast"/>
        </w:trPr>
        <w:tc>
          <w:tcPr>
            <w:tcW w:w="3022" w:type="dxa"/>
            <w:tcBorders>
              <w:top w:val="single" w:sz="6" w:space="0" w:color="000000"/>
              <w:left w:val="single" w:sz="6" w:space="0" w:color="000000"/>
              <w:bottom w:val="single" w:sz="6" w:space="0" w:color="000000"/>
              <w:right w:val="single" w:sz="6" w:space="0" w:color="000000"/>
            </w:tcBorders>
            <w:shd w:color="auto" w:fill="A6A6A6" w:val="clear"/>
          </w:tcPr>
          <w:p>
            <w:pPr>
              <w:pStyle w:val="TableParagraph"/>
              <w:widowControl w:val="false"/>
              <w:spacing w:before="4" w:after="0"/>
              <w:rPr>
                <w:b/>
                <w:b/>
                <w:i/>
                <w:i/>
                <w:sz w:val="27"/>
                <w:lang w:val="es-ES"/>
              </w:rPr>
            </w:pPr>
            <w:r>
              <w:rPr>
                <w:b/>
                <w:i/>
                <w:sz w:val="27"/>
                <w:lang w:val="es-ES"/>
              </w:rPr>
            </w:r>
          </w:p>
          <w:p>
            <w:pPr>
              <w:pStyle w:val="TableParagraph"/>
              <w:widowControl w:val="false"/>
              <w:ind w:left="453" w:hanging="0"/>
              <w:rPr>
                <w:lang w:val="es-ES"/>
              </w:rPr>
            </w:pPr>
            <w:r>
              <w:rPr>
                <w:b/>
                <w:i/>
                <w:lang w:val="es-ES"/>
              </w:rPr>
              <w:t>Periodo de integración</w:t>
            </w:r>
          </w:p>
        </w:tc>
        <w:tc>
          <w:tcPr>
            <w:tcW w:w="1477" w:type="dxa"/>
            <w:tcBorders>
              <w:top w:val="single" w:sz="6" w:space="0" w:color="000000"/>
              <w:left w:val="single" w:sz="6" w:space="0" w:color="000000"/>
              <w:bottom w:val="single" w:sz="6" w:space="0" w:color="000000"/>
              <w:right w:val="single" w:sz="6" w:space="0" w:color="000000"/>
            </w:tcBorders>
            <w:shd w:color="auto" w:fill="A6A6A6" w:val="clear"/>
          </w:tcPr>
          <w:p>
            <w:pPr>
              <w:pStyle w:val="TableParagraph"/>
              <w:widowControl w:val="false"/>
              <w:spacing w:before="4" w:after="0"/>
              <w:rPr>
                <w:b/>
                <w:b/>
                <w:i/>
                <w:i/>
                <w:sz w:val="27"/>
                <w:lang w:val="es-ES"/>
              </w:rPr>
            </w:pPr>
            <w:r>
              <w:rPr>
                <w:b/>
                <w:i/>
                <w:sz w:val="27"/>
                <w:lang w:val="es-ES"/>
              </w:rPr>
            </w:r>
          </w:p>
          <w:p>
            <w:pPr>
              <w:pStyle w:val="TableParagraph"/>
              <w:widowControl w:val="false"/>
              <w:ind w:left="340" w:hanging="0"/>
              <w:rPr>
                <w:lang w:val="es-ES"/>
              </w:rPr>
            </w:pPr>
            <w:r>
              <w:rPr>
                <w:b/>
                <w:i/>
                <w:lang w:val="es-ES"/>
              </w:rPr>
              <w:t>1-6 meses</w:t>
            </w:r>
          </w:p>
        </w:tc>
        <w:tc>
          <w:tcPr>
            <w:tcW w:w="3702" w:type="dxa"/>
            <w:tcBorders>
              <w:top w:val="single" w:sz="6" w:space="0" w:color="000000"/>
              <w:left w:val="single" w:sz="6" w:space="0" w:color="000000"/>
              <w:bottom w:val="single" w:sz="6" w:space="0" w:color="000000"/>
              <w:right w:val="single" w:sz="6" w:space="0" w:color="000000"/>
            </w:tcBorders>
            <w:shd w:color="auto" w:fill="A6A6A6" w:val="clear"/>
          </w:tcPr>
          <w:p>
            <w:pPr>
              <w:pStyle w:val="TableParagraph"/>
              <w:widowControl w:val="false"/>
              <w:spacing w:before="188" w:after="0"/>
              <w:ind w:left="605" w:right="590" w:hanging="0"/>
              <w:jc w:val="center"/>
              <w:rPr>
                <w:lang w:val="es-ES"/>
              </w:rPr>
            </w:pPr>
            <w:r>
              <w:rPr>
                <w:b/>
                <w:i/>
                <w:lang w:val="es-ES"/>
              </w:rPr>
              <w:t>7-12 meses</w:t>
            </w:r>
          </w:p>
          <w:p>
            <w:pPr>
              <w:pStyle w:val="TableParagraph"/>
              <w:widowControl w:val="false"/>
              <w:spacing w:before="1" w:after="0"/>
              <w:ind w:left="654" w:right="590" w:hanging="0"/>
              <w:jc w:val="center"/>
              <w:rPr/>
            </w:pPr>
            <w:r>
              <w:rPr>
                <w:b/>
                <w:i/>
                <w:lang w:val="es-ES"/>
              </w:rPr>
              <w:t>(</w:t>
            </w:r>
            <w:r>
              <w:rPr>
                <w:rStyle w:val="Destaquemayor"/>
                <w:i/>
                <w:lang w:val="es-ES"/>
              </w:rPr>
              <w:t xml:space="preserve">según </w:t>
            </w:r>
            <w:r>
              <w:rPr>
                <w:rStyle w:val="Destaquemayor"/>
                <w:i/>
                <w:color w:val="111827"/>
                <w:lang w:val="es-ES"/>
              </w:rPr>
              <w:t xml:space="preserve">el caso, de hasta </w:t>
            </w:r>
            <w:r>
              <w:rPr>
                <w:b/>
                <w:i/>
                <w:lang w:val="es-ES"/>
              </w:rPr>
              <w:t>18 meses)</w:t>
            </w:r>
          </w:p>
        </w:tc>
      </w:tr>
      <w:tr>
        <w:trPr>
          <w:trHeight w:val="505" w:hRule="atLeast"/>
        </w:trPr>
        <w:tc>
          <w:tcPr>
            <w:tcW w:w="302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25" w:after="0"/>
              <w:ind w:left="107" w:hanging="0"/>
              <w:rPr>
                <w:lang w:val="es-ES"/>
              </w:rPr>
            </w:pPr>
            <w:r>
              <w:rPr>
                <w:i/>
                <w:lang w:val="es-ES"/>
              </w:rPr>
              <w:t>Subsidio para 1 persona</w:t>
            </w:r>
          </w:p>
        </w:tc>
        <w:tc>
          <w:tcPr>
            <w:tcW w:w="147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1"/>
              <w:ind w:left="172" w:right="162" w:hanging="0"/>
              <w:jc w:val="center"/>
              <w:rPr>
                <w:lang w:val="es-ES"/>
              </w:rPr>
            </w:pPr>
            <w:r>
              <w:rPr>
                <w:i/>
                <w:lang w:val="es-ES"/>
              </w:rPr>
              <w:t>294,00 EUR</w:t>
            </w:r>
          </w:p>
          <w:p>
            <w:pPr>
              <w:pStyle w:val="TableParagraph"/>
              <w:widowControl w:val="false"/>
              <w:spacing w:lineRule="exact" w:line="233" w:before="1" w:after="0"/>
              <w:ind w:left="172" w:right="161" w:hanging="0"/>
              <w:jc w:val="center"/>
              <w:rPr>
                <w:lang w:val="es-ES"/>
              </w:rPr>
            </w:pPr>
            <w:r>
              <w:rPr>
                <w:i/>
                <w:lang w:val="es-ES"/>
              </w:rPr>
              <w:t>(2 IGE)</w:t>
            </w:r>
          </w:p>
        </w:tc>
        <w:tc>
          <w:tcPr>
            <w:tcW w:w="37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25" w:after="0"/>
              <w:ind w:left="603" w:right="590" w:hanging="0"/>
              <w:jc w:val="center"/>
              <w:rPr>
                <w:lang w:val="es-ES"/>
              </w:rPr>
            </w:pPr>
            <w:r>
              <w:rPr>
                <w:i/>
                <w:lang w:val="es-ES"/>
              </w:rPr>
              <w:t>147,00 EUR (1 IGE)</w:t>
            </w:r>
          </w:p>
        </w:tc>
      </w:tr>
      <w:tr>
        <w:trPr>
          <w:trHeight w:val="505" w:hRule="atLeast"/>
        </w:trPr>
        <w:tc>
          <w:tcPr>
            <w:tcW w:w="302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25" w:after="0"/>
              <w:ind w:left="107" w:hanging="0"/>
              <w:rPr>
                <w:lang w:val="es-ES"/>
              </w:rPr>
            </w:pPr>
            <w:r>
              <w:rPr>
                <w:i/>
                <w:lang w:val="es-ES"/>
              </w:rPr>
              <w:t>Subsidio para una familia de 2 personas</w:t>
            </w:r>
          </w:p>
        </w:tc>
        <w:tc>
          <w:tcPr>
            <w:tcW w:w="147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1"/>
              <w:ind w:left="172" w:right="162" w:hanging="0"/>
              <w:jc w:val="center"/>
              <w:rPr>
                <w:lang w:val="es-ES"/>
              </w:rPr>
            </w:pPr>
            <w:r>
              <w:rPr>
                <w:i/>
                <w:lang w:val="es-ES"/>
              </w:rPr>
              <w:t>441,00 EUR</w:t>
            </w:r>
          </w:p>
          <w:p>
            <w:pPr>
              <w:pStyle w:val="TableParagraph"/>
              <w:widowControl w:val="false"/>
              <w:spacing w:lineRule="exact" w:line="233" w:before="1" w:after="0"/>
              <w:ind w:left="172" w:right="161" w:hanging="0"/>
              <w:jc w:val="center"/>
              <w:rPr>
                <w:lang w:val="es-ES"/>
              </w:rPr>
            </w:pPr>
            <w:r>
              <w:rPr>
                <w:i/>
                <w:lang w:val="es-ES"/>
              </w:rPr>
              <w:t>(3 IGE)</w:t>
            </w:r>
          </w:p>
        </w:tc>
        <w:tc>
          <w:tcPr>
            <w:tcW w:w="37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25" w:after="0"/>
              <w:ind w:left="605" w:right="590" w:hanging="0"/>
              <w:jc w:val="center"/>
              <w:rPr>
                <w:lang w:val="es-ES"/>
              </w:rPr>
            </w:pPr>
            <w:r>
              <w:rPr>
                <w:i/>
                <w:lang w:val="es-ES"/>
              </w:rPr>
              <w:t>220,50 EUR (1,5 IGE)</w:t>
            </w:r>
          </w:p>
        </w:tc>
      </w:tr>
      <w:tr>
        <w:trPr>
          <w:trHeight w:val="505" w:hRule="atLeast"/>
        </w:trPr>
        <w:tc>
          <w:tcPr>
            <w:tcW w:w="302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25" w:after="0"/>
              <w:ind w:left="107" w:hanging="0"/>
              <w:rPr>
                <w:lang w:val="es-ES"/>
              </w:rPr>
            </w:pPr>
            <w:r>
              <w:rPr>
                <w:i/>
                <w:lang w:val="es-ES"/>
              </w:rPr>
              <w:t>Subsidio para una familia de 3 personas</w:t>
            </w:r>
          </w:p>
        </w:tc>
        <w:tc>
          <w:tcPr>
            <w:tcW w:w="147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1"/>
              <w:ind w:left="172" w:right="162" w:hanging="0"/>
              <w:jc w:val="center"/>
              <w:rPr>
                <w:lang w:val="es-ES"/>
              </w:rPr>
            </w:pPr>
            <w:r>
              <w:rPr>
                <w:i/>
                <w:lang w:val="es-ES"/>
              </w:rPr>
              <w:t>588,00 EUR</w:t>
            </w:r>
          </w:p>
          <w:p>
            <w:pPr>
              <w:pStyle w:val="TableParagraph"/>
              <w:widowControl w:val="false"/>
              <w:spacing w:lineRule="exact" w:line="233" w:before="1" w:after="0"/>
              <w:ind w:left="172" w:right="161" w:hanging="0"/>
              <w:jc w:val="center"/>
              <w:rPr>
                <w:lang w:val="es-ES"/>
              </w:rPr>
            </w:pPr>
            <w:r>
              <w:rPr>
                <w:i/>
                <w:lang w:val="es-ES"/>
              </w:rPr>
              <w:t>(4 IGE)</w:t>
            </w:r>
          </w:p>
        </w:tc>
        <w:tc>
          <w:tcPr>
            <w:tcW w:w="37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25" w:after="0"/>
              <w:ind w:left="603" w:right="590" w:hanging="0"/>
              <w:jc w:val="center"/>
              <w:rPr>
                <w:lang w:val="es-ES"/>
              </w:rPr>
            </w:pPr>
            <w:r>
              <w:rPr>
                <w:i/>
                <w:lang w:val="es-ES"/>
              </w:rPr>
              <w:t>294,00 EUR (2 IGE)</w:t>
            </w:r>
          </w:p>
        </w:tc>
      </w:tr>
      <w:tr>
        <w:trPr>
          <w:trHeight w:val="1012" w:hRule="atLeast"/>
        </w:trPr>
        <w:tc>
          <w:tcPr>
            <w:tcW w:w="3022" w:type="dxa"/>
            <w:tcBorders>
              <w:top w:val="single" w:sz="6" w:space="0" w:color="000000"/>
              <w:left w:val="single" w:sz="6" w:space="0" w:color="000000"/>
              <w:bottom w:val="single" w:sz="6" w:space="0" w:color="000000"/>
              <w:right w:val="single" w:sz="6" w:space="0" w:color="000000"/>
            </w:tcBorders>
          </w:tcPr>
          <w:p>
            <w:pPr>
              <w:pStyle w:val="TableParagraph"/>
              <w:widowControl w:val="false"/>
              <w:ind w:left="107" w:right="313" w:hanging="0"/>
              <w:rPr>
                <w:lang w:val="es-ES"/>
              </w:rPr>
            </w:pPr>
            <w:r>
              <w:rPr>
                <w:i/>
                <w:lang w:val="es-ES"/>
              </w:rPr>
              <w:t>Si la familia consiste de más de tres personas, se concederá un subsidio adicional a cada  persona</w:t>
            </w:r>
          </w:p>
        </w:tc>
        <w:tc>
          <w:tcPr>
            <w:tcW w:w="1477"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1" w:after="0"/>
              <w:rPr>
                <w:b/>
                <w:b/>
                <w:i/>
                <w:i/>
                <w:sz w:val="21"/>
                <w:lang w:val="es-ES"/>
              </w:rPr>
            </w:pPr>
            <w:r>
              <w:rPr>
                <w:b/>
                <w:i/>
                <w:sz w:val="21"/>
                <w:lang w:val="es-ES"/>
              </w:rPr>
            </w:r>
          </w:p>
          <w:p>
            <w:pPr>
              <w:pStyle w:val="TableParagraph"/>
              <w:widowControl w:val="false"/>
              <w:spacing w:lineRule="exact" w:line="252"/>
              <w:ind w:left="247" w:hanging="0"/>
              <w:rPr>
                <w:lang w:val="es-ES"/>
              </w:rPr>
            </w:pPr>
            <w:r>
              <w:rPr>
                <w:i/>
                <w:lang w:val="es-ES"/>
              </w:rPr>
              <w:t>73,50 EUR</w:t>
            </w:r>
          </w:p>
          <w:p>
            <w:pPr>
              <w:pStyle w:val="TableParagraph"/>
              <w:widowControl w:val="false"/>
              <w:spacing w:lineRule="exact" w:line="252"/>
              <w:ind w:left="297" w:hanging="0"/>
              <w:rPr>
                <w:lang w:val="es-ES"/>
              </w:rPr>
            </w:pPr>
            <w:r>
              <w:rPr>
                <w:i/>
                <w:lang w:val="es-ES"/>
              </w:rPr>
              <w:t>(0,5 IGE)</w:t>
            </w:r>
          </w:p>
        </w:tc>
        <w:tc>
          <w:tcPr>
            <w:tcW w:w="37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9" w:after="0"/>
              <w:rPr>
                <w:b/>
                <w:b/>
                <w:i/>
                <w:i/>
                <w:sz w:val="32"/>
                <w:lang w:val="es-ES"/>
              </w:rPr>
            </w:pPr>
            <w:r>
              <w:rPr>
                <w:b/>
                <w:i/>
                <w:sz w:val="32"/>
                <w:lang w:val="es-ES"/>
              </w:rPr>
            </w:r>
          </w:p>
          <w:p>
            <w:pPr>
              <w:pStyle w:val="TableParagraph"/>
              <w:widowControl w:val="false"/>
              <w:ind w:left="605" w:right="590" w:hanging="0"/>
              <w:jc w:val="center"/>
              <w:rPr>
                <w:lang w:val="es-ES"/>
              </w:rPr>
            </w:pPr>
            <w:r>
              <w:rPr>
                <w:i/>
                <w:lang w:val="es-ES"/>
              </w:rPr>
              <w:t>36,75 EUR (0,25 IGE)</w:t>
            </w:r>
          </w:p>
        </w:tc>
      </w:tr>
    </w:tbl>
    <w:p>
      <w:pPr>
        <w:pStyle w:val="Normal"/>
        <w:ind w:left="122" w:hanging="0"/>
        <w:rPr/>
      </w:pPr>
      <w:r>
        <w:rPr>
          <w:rStyle w:val="Destaquemayor"/>
          <w:i/>
          <w:sz w:val="24"/>
          <w:lang w:val="es-ES"/>
        </w:rPr>
        <w:t>El importe de subsidio varía en función de IGE</w:t>
      </w:r>
      <w:r>
        <w:rPr>
          <w:b/>
          <w:i/>
          <w:sz w:val="24"/>
          <w:lang w:val="es-ES"/>
        </w:rPr>
        <w:t xml:space="preserve"> (IGE - 147 EUR)</w:t>
      </w:r>
    </w:p>
    <w:p>
      <w:pPr>
        <w:pStyle w:val="Normal"/>
        <w:rPr>
          <w:b/>
          <w:b/>
          <w:i/>
          <w:i/>
          <w:sz w:val="26"/>
          <w:lang w:val="es-ES"/>
        </w:rPr>
      </w:pPr>
      <w:r>
        <w:rPr>
          <w:b/>
          <w:i/>
          <w:sz w:val="26"/>
          <w:lang w:val="es-ES"/>
        </w:rPr>
      </w:r>
    </w:p>
    <w:p>
      <w:pPr>
        <w:pStyle w:val="Normal"/>
        <w:spacing w:before="6" w:after="0"/>
        <w:rPr>
          <w:b/>
          <w:b/>
          <w:i/>
          <w:i/>
          <w:sz w:val="27"/>
          <w:lang w:val="es-ES"/>
        </w:rPr>
      </w:pPr>
      <w:r>
        <w:rPr>
          <w:b/>
          <w:i/>
          <w:sz w:val="27"/>
          <w:lang w:val="es-ES"/>
        </w:rPr>
      </w:r>
    </w:p>
    <w:p>
      <w:pPr>
        <w:pStyle w:val="Cuerpodetexto"/>
        <w:ind w:left="122" w:hanging="0"/>
        <w:rPr/>
      </w:pPr>
      <w:r>
        <w:rPr>
          <w:rStyle w:val="Destaquemayor"/>
          <w:b/>
          <w:lang w:val="es-ES"/>
        </w:rPr>
        <w:t>Podrán concederse ayudas complementarias</w:t>
      </w:r>
      <w:r>
        <w:rPr>
          <w:lang w:val="es-ES"/>
        </w:rPr>
        <w:t>:</w:t>
      </w:r>
    </w:p>
    <w:p>
      <w:pPr>
        <w:pStyle w:val="Normal"/>
        <w:spacing w:before="2" w:after="1"/>
        <w:rPr>
          <w:b/>
          <w:b/>
          <w:i/>
          <w:i/>
          <w:sz w:val="16"/>
          <w:lang w:val="es-ES"/>
        </w:rPr>
      </w:pPr>
      <w:r>
        <w:rPr>
          <w:b/>
          <w:i/>
          <w:sz w:val="16"/>
          <w:lang w:val="es-ES"/>
        </w:rPr>
      </w:r>
    </w:p>
    <w:tbl>
      <w:tblPr>
        <w:tblW w:w="8218" w:type="dxa"/>
        <w:jc w:val="left"/>
        <w:tblInd w:w="138" w:type="dxa"/>
        <w:tblLayout w:type="fixed"/>
        <w:tblCellMar>
          <w:top w:w="0" w:type="dxa"/>
          <w:left w:w="7" w:type="dxa"/>
          <w:bottom w:w="0" w:type="dxa"/>
          <w:right w:w="7" w:type="dxa"/>
        </w:tblCellMar>
        <w:tblLook w:firstRow="1" w:noVBand="0" w:lastRow="1" w:firstColumn="1" w:lastColumn="1" w:noHBand="0" w:val="01e0"/>
      </w:tblPr>
      <w:tblGrid>
        <w:gridCol w:w="5483"/>
        <w:gridCol w:w="2734"/>
      </w:tblGrid>
      <w:tr>
        <w:trPr>
          <w:trHeight w:val="368" w:hRule="atLeast"/>
        </w:trPr>
        <w:tc>
          <w:tcPr>
            <w:tcW w:w="5483"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widowControl w:val="false"/>
              <w:spacing w:before="56" w:after="0"/>
              <w:ind w:left="2132" w:right="2121" w:hanging="0"/>
              <w:jc w:val="center"/>
              <w:rPr>
                <w:lang w:val="es-ES"/>
              </w:rPr>
            </w:pPr>
            <w:r>
              <w:rPr>
                <w:b/>
                <w:i/>
                <w:lang w:val="es-ES"/>
              </w:rPr>
              <w:t>Título</w:t>
            </w:r>
          </w:p>
        </w:tc>
        <w:tc>
          <w:tcPr>
            <w:tcW w:w="2734" w:type="dxa"/>
            <w:tcBorders>
              <w:top w:val="single" w:sz="6" w:space="0" w:color="000000"/>
              <w:left w:val="single" w:sz="6" w:space="0" w:color="000000"/>
              <w:bottom w:val="single" w:sz="6" w:space="0" w:color="000000"/>
              <w:right w:val="single" w:sz="6" w:space="0" w:color="000000"/>
            </w:tcBorders>
            <w:shd w:color="auto" w:fill="808080" w:val="clear"/>
          </w:tcPr>
          <w:p>
            <w:pPr>
              <w:pStyle w:val="TableParagraph"/>
              <w:widowControl w:val="false"/>
              <w:spacing w:before="56" w:after="0"/>
              <w:ind w:left="318" w:right="310" w:hanging="0"/>
              <w:jc w:val="center"/>
              <w:rPr>
                <w:lang w:val="es-ES"/>
              </w:rPr>
            </w:pPr>
            <w:r>
              <w:rPr>
                <w:b/>
                <w:i/>
                <w:lang w:val="es-ES"/>
              </w:rPr>
              <w:t>Importe de ayuda</w:t>
            </w:r>
          </w:p>
        </w:tc>
      </w:tr>
      <w:tr>
        <w:trPr>
          <w:trHeight w:val="371" w:hRule="atLeast"/>
        </w:trPr>
        <w:tc>
          <w:tcPr>
            <w:tcW w:w="54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8" w:after="0"/>
              <w:ind w:left="107" w:hanging="0"/>
              <w:rPr>
                <w:lang w:val="es-ES"/>
              </w:rPr>
            </w:pPr>
            <w:r>
              <w:rPr>
                <w:i/>
                <w:lang w:val="es-ES"/>
              </w:rPr>
              <w:t>Subsidio para la compra de útiles escolares (para 1 persona)</w:t>
            </w:r>
          </w:p>
        </w:tc>
        <w:tc>
          <w:tcPr>
            <w:tcW w:w="273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8" w:after="0"/>
              <w:ind w:left="318" w:right="309" w:hanging="0"/>
              <w:jc w:val="center"/>
              <w:rPr>
                <w:lang w:val="es-ES"/>
              </w:rPr>
            </w:pPr>
            <w:r>
              <w:rPr>
                <w:i/>
                <w:lang w:val="es-ES"/>
              </w:rPr>
              <w:t>46€ x 2 Asignación social básica  (ASB)  = 92 €</w:t>
            </w:r>
          </w:p>
        </w:tc>
      </w:tr>
      <w:tr>
        <w:trPr>
          <w:trHeight w:val="757" w:hRule="atLeast"/>
        </w:trPr>
        <w:tc>
          <w:tcPr>
            <w:tcW w:w="5483" w:type="dxa"/>
            <w:tcBorders>
              <w:top w:val="single" w:sz="6" w:space="0" w:color="000000"/>
              <w:left w:val="single" w:sz="6" w:space="0" w:color="000000"/>
              <w:bottom w:val="single" w:sz="6" w:space="0" w:color="000000"/>
              <w:right w:val="single" w:sz="6" w:space="0" w:color="000000"/>
            </w:tcBorders>
          </w:tcPr>
          <w:p>
            <w:pPr>
              <w:pStyle w:val="TableParagraph"/>
              <w:widowControl w:val="false"/>
              <w:ind w:left="107" w:right="153" w:hanging="0"/>
              <w:rPr>
                <w:lang w:val="es-ES"/>
              </w:rPr>
            </w:pPr>
            <w:r>
              <w:rPr>
                <w:i/>
                <w:lang w:val="es-ES"/>
              </w:rPr>
              <w:t>Compensación para cubrir los gastos de educación de los niños que cursan el programa de educación preescolar y/o primaria</w:t>
            </w:r>
          </w:p>
          <w:p>
            <w:pPr>
              <w:pStyle w:val="TableParagraph"/>
              <w:widowControl w:val="false"/>
              <w:spacing w:lineRule="exact" w:line="233"/>
              <w:ind w:left="107" w:hanging="0"/>
              <w:rPr>
                <w:lang w:val="es-ES"/>
              </w:rPr>
            </w:pPr>
            <w:r>
              <w:rPr>
                <w:i/>
                <w:lang w:val="es-ES"/>
              </w:rPr>
              <w:t>(1 niño/1 mes)</w:t>
            </w:r>
          </w:p>
        </w:tc>
        <w:tc>
          <w:tcPr>
            <w:tcW w:w="273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8" w:after="0"/>
              <w:rPr>
                <w:b/>
                <w:b/>
                <w:i/>
                <w:i/>
                <w:sz w:val="21"/>
                <w:lang w:val="es-ES"/>
              </w:rPr>
            </w:pPr>
            <w:r>
              <w:rPr>
                <w:b/>
                <w:i/>
                <w:sz w:val="21"/>
                <w:lang w:val="es-ES"/>
              </w:rPr>
            </w:r>
          </w:p>
          <w:p>
            <w:pPr>
              <w:pStyle w:val="TableParagraph"/>
              <w:widowControl w:val="false"/>
              <w:spacing w:before="1" w:after="0"/>
              <w:ind w:left="318" w:right="312" w:hanging="0"/>
              <w:jc w:val="center"/>
              <w:rPr>
                <w:lang w:val="es-ES"/>
              </w:rPr>
            </w:pPr>
            <w:r>
              <w:rPr>
                <w:i/>
                <w:lang w:val="es-ES"/>
              </w:rPr>
              <w:t>46€ x 1.6 ASB =73,60 €</w:t>
            </w:r>
          </w:p>
        </w:tc>
      </w:tr>
      <w:tr>
        <w:trPr>
          <w:trHeight w:val="1264" w:hRule="atLeast"/>
        </w:trPr>
        <w:tc>
          <w:tcPr>
            <w:tcW w:w="54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1"/>
              <w:ind w:left="107" w:hanging="0"/>
              <w:rPr>
                <w:lang w:val="es-ES"/>
              </w:rPr>
            </w:pPr>
            <w:r>
              <w:rPr>
                <w:i/>
                <w:lang w:val="es-ES"/>
              </w:rPr>
              <w:t>Enseñanza del idioma lituano para adultos.</w:t>
              <w:br/>
              <w:t>Pueden asistir a los cursos de enseñanza organizados por el Centro de Acogida de Refugiados o recibir una compensación después de completar los cursos y aprobar el examen de la categoría de dominio del idioma estatal de nivel I.</w:t>
            </w:r>
          </w:p>
        </w:tc>
        <w:tc>
          <w:tcPr>
            <w:tcW w:w="2734" w:type="dxa"/>
            <w:tcBorders>
              <w:top w:val="single" w:sz="6" w:space="0" w:color="000000"/>
              <w:left w:val="single" w:sz="6" w:space="0" w:color="000000"/>
              <w:bottom w:val="single" w:sz="6" w:space="0" w:color="000000"/>
              <w:right w:val="single" w:sz="6" w:space="0" w:color="000000"/>
            </w:tcBorders>
          </w:tcPr>
          <w:p>
            <w:pPr>
              <w:pStyle w:val="TableParagraph"/>
              <w:widowControl w:val="false"/>
              <w:rPr>
                <w:b/>
                <w:b/>
                <w:i/>
                <w:i/>
                <w:sz w:val="24"/>
                <w:lang w:val="es-ES"/>
              </w:rPr>
            </w:pPr>
            <w:r>
              <w:rPr>
                <w:b/>
                <w:i/>
                <w:sz w:val="24"/>
                <w:lang w:val="es-ES"/>
              </w:rPr>
            </w:r>
          </w:p>
          <w:p>
            <w:pPr>
              <w:pStyle w:val="TableParagraph"/>
              <w:widowControl w:val="false"/>
              <w:spacing w:before="10" w:after="0"/>
              <w:rPr>
                <w:b/>
                <w:b/>
                <w:i/>
                <w:i/>
                <w:sz w:val="19"/>
                <w:lang w:val="es-ES"/>
              </w:rPr>
            </w:pPr>
            <w:r>
              <w:rPr>
                <w:b/>
                <w:i/>
                <w:sz w:val="19"/>
                <w:lang w:val="es-ES"/>
              </w:rPr>
            </w:r>
          </w:p>
          <w:p>
            <w:pPr>
              <w:pStyle w:val="TableParagraph"/>
              <w:widowControl w:val="false"/>
              <w:ind w:left="318" w:right="311" w:hanging="0"/>
              <w:jc w:val="center"/>
              <w:rPr>
                <w:lang w:val="es-ES"/>
              </w:rPr>
            </w:pPr>
            <w:r>
              <w:rPr>
                <w:i/>
                <w:lang w:val="es-ES"/>
              </w:rPr>
              <w:t>375 €</w:t>
            </w:r>
          </w:p>
        </w:tc>
      </w:tr>
      <w:tr>
        <w:trPr>
          <w:trHeight w:val="1014" w:hRule="atLeast"/>
        </w:trPr>
        <w:tc>
          <w:tcPr>
            <w:tcW w:w="5483"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5"/>
              <w:ind w:left="107" w:hanging="0"/>
              <w:rPr/>
            </w:pPr>
            <w:r>
              <w:rPr>
                <w:i/>
                <w:lang w:val="es-ES"/>
              </w:rPr>
              <w:t>Compensación parcial por alquiler de la vivienda (</w:t>
            </w:r>
            <w:r>
              <w:rPr>
                <w:rStyle w:val="Destaquemayor"/>
                <w:b w:val="false"/>
                <w:bCs w:val="false"/>
                <w:i/>
                <w:lang w:val="es-ES"/>
              </w:rPr>
              <w:t>se calcula de la misma</w:t>
            </w:r>
            <w:r>
              <w:rPr>
                <w:rStyle w:val="Destaquemayor"/>
                <w:b w:val="false"/>
                <w:bCs w:val="false"/>
                <w:i/>
                <w:color w:val="111827"/>
                <w:sz w:val="17"/>
                <w:lang w:val="es-ES"/>
              </w:rPr>
              <w:t xml:space="preserve"> </w:t>
            </w:r>
            <w:r>
              <w:rPr>
                <w:rStyle w:val="Destaquemayor"/>
                <w:b w:val="false"/>
                <w:bCs w:val="false"/>
                <w:i/>
                <w:lang w:val="es-ES"/>
              </w:rPr>
              <w:t xml:space="preserve">manera que, en el caso de los </w:t>
            </w:r>
            <w:r>
              <w:rPr>
                <w:i/>
                <w:lang w:val="es-ES"/>
              </w:rPr>
              <w:t>ciudadanos de la República de Lituania, según la metodología especificada en el artículo 18 de la Ley de Apoyo a la Compra y Alquiler de Vivienda (depende del municipio)</w:t>
            </w:r>
          </w:p>
        </w:tc>
        <w:tc>
          <w:tcPr>
            <w:tcW w:w="273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11" w:after="0"/>
              <w:rPr>
                <w:b/>
                <w:b/>
                <w:i/>
                <w:i/>
                <w:sz w:val="21"/>
                <w:lang w:val="es-ES"/>
              </w:rPr>
            </w:pPr>
            <w:r>
              <w:rPr>
                <w:b/>
                <w:i/>
                <w:sz w:val="21"/>
                <w:lang w:val="es-ES"/>
              </w:rPr>
            </w:r>
          </w:p>
          <w:p>
            <w:pPr>
              <w:pStyle w:val="TableParagraph"/>
              <w:widowControl w:val="false"/>
              <w:ind w:left="318" w:right="312" w:hanging="0"/>
              <w:jc w:val="center"/>
              <w:rPr>
                <w:lang w:val="es-ES"/>
              </w:rPr>
            </w:pPr>
            <w:r>
              <w:rPr>
                <w:i/>
                <w:lang w:val="es-ES"/>
              </w:rPr>
              <w:t>desde 46,40 hasta 210,56€</w:t>
            </w:r>
          </w:p>
        </w:tc>
      </w:tr>
    </w:tbl>
    <w:p>
      <w:pPr>
        <w:pStyle w:val="Normal"/>
        <w:rPr>
          <w:lang w:val="es-ES"/>
        </w:rPr>
      </w:pPr>
      <w:r>
        <w:rPr/>
      </w:r>
    </w:p>
    <w:sectPr>
      <w:type w:val="nextPage"/>
      <w:pgSz w:w="11906" w:h="16838"/>
      <w:pgMar w:left="1580" w:right="620" w:gutter="0" w:header="0" w:top="1580" w:footer="0" w:bottom="28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altName w:val="sans-serif"/>
    <w:charset w:val="00"/>
    <w:family w:val="roman"/>
    <w:pitch w:val="variable"/>
  </w:font>
  <w:font w:name="Wingdings">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95" w:hanging="219"/>
      </w:pPr>
      <w:rPr>
        <w:rFonts w:ascii="Times New Roman" w:hAnsi="Times New Roman" w:cs="Times New Roman" w:hint="default"/>
        <w:sz w:val="22"/>
        <w:i/>
        <w:szCs w:val="22"/>
        <w:w w:val="100"/>
        <w:lang w:val="lt-LT" w:eastAsia="en-US" w:bidi="ar-SA"/>
      </w:rPr>
    </w:lvl>
    <w:lvl w:ilvl="1">
      <w:start w:val="0"/>
      <w:numFmt w:val="bullet"/>
      <w:lvlText w:val=""/>
      <w:lvlJc w:val="left"/>
      <w:pPr>
        <w:tabs>
          <w:tab w:val="num" w:pos="0"/>
        </w:tabs>
        <w:ind w:left="545" w:hanging="219"/>
      </w:pPr>
      <w:rPr>
        <w:rFonts w:ascii="Symbol" w:hAnsi="Symbol" w:cs="Symbol" w:hint="default"/>
        <w:lang w:val="lt-LT" w:eastAsia="en-US" w:bidi="ar-SA"/>
      </w:rPr>
    </w:lvl>
    <w:lvl w:ilvl="2">
      <w:start w:val="0"/>
      <w:numFmt w:val="bullet"/>
      <w:lvlText w:val=""/>
      <w:lvlJc w:val="left"/>
      <w:pPr>
        <w:tabs>
          <w:tab w:val="num" w:pos="0"/>
        </w:tabs>
        <w:ind w:left="990" w:hanging="219"/>
      </w:pPr>
      <w:rPr>
        <w:rFonts w:ascii="Symbol" w:hAnsi="Symbol" w:cs="Symbol" w:hint="default"/>
        <w:lang w:val="lt-LT" w:eastAsia="en-US" w:bidi="ar-SA"/>
      </w:rPr>
    </w:lvl>
    <w:lvl w:ilvl="3">
      <w:start w:val="0"/>
      <w:numFmt w:val="bullet"/>
      <w:lvlText w:val=""/>
      <w:lvlJc w:val="left"/>
      <w:pPr>
        <w:tabs>
          <w:tab w:val="num" w:pos="0"/>
        </w:tabs>
        <w:ind w:left="1435" w:hanging="219"/>
      </w:pPr>
      <w:rPr>
        <w:rFonts w:ascii="Symbol" w:hAnsi="Symbol" w:cs="Symbol" w:hint="default"/>
        <w:lang w:val="lt-LT" w:eastAsia="en-US" w:bidi="ar-SA"/>
      </w:rPr>
    </w:lvl>
    <w:lvl w:ilvl="4">
      <w:start w:val="0"/>
      <w:numFmt w:val="bullet"/>
      <w:lvlText w:val=""/>
      <w:lvlJc w:val="left"/>
      <w:pPr>
        <w:tabs>
          <w:tab w:val="num" w:pos="0"/>
        </w:tabs>
        <w:ind w:left="1880" w:hanging="219"/>
      </w:pPr>
      <w:rPr>
        <w:rFonts w:ascii="Symbol" w:hAnsi="Symbol" w:cs="Symbol" w:hint="default"/>
        <w:lang w:val="lt-LT" w:eastAsia="en-US" w:bidi="ar-SA"/>
      </w:rPr>
    </w:lvl>
    <w:lvl w:ilvl="5">
      <w:start w:val="0"/>
      <w:numFmt w:val="bullet"/>
      <w:lvlText w:val=""/>
      <w:lvlJc w:val="left"/>
      <w:pPr>
        <w:tabs>
          <w:tab w:val="num" w:pos="0"/>
        </w:tabs>
        <w:ind w:left="2326" w:hanging="219"/>
      </w:pPr>
      <w:rPr>
        <w:rFonts w:ascii="Symbol" w:hAnsi="Symbol" w:cs="Symbol" w:hint="default"/>
        <w:lang w:val="lt-LT" w:eastAsia="en-US" w:bidi="ar-SA"/>
      </w:rPr>
    </w:lvl>
    <w:lvl w:ilvl="6">
      <w:start w:val="0"/>
      <w:numFmt w:val="bullet"/>
      <w:lvlText w:val=""/>
      <w:lvlJc w:val="left"/>
      <w:pPr>
        <w:tabs>
          <w:tab w:val="num" w:pos="0"/>
        </w:tabs>
        <w:ind w:left="2771" w:hanging="219"/>
      </w:pPr>
      <w:rPr>
        <w:rFonts w:ascii="Symbol" w:hAnsi="Symbol" w:cs="Symbol" w:hint="default"/>
        <w:lang w:val="lt-LT" w:eastAsia="en-US" w:bidi="ar-SA"/>
      </w:rPr>
    </w:lvl>
    <w:lvl w:ilvl="7">
      <w:start w:val="0"/>
      <w:numFmt w:val="bullet"/>
      <w:lvlText w:val=""/>
      <w:lvlJc w:val="left"/>
      <w:pPr>
        <w:tabs>
          <w:tab w:val="num" w:pos="0"/>
        </w:tabs>
        <w:ind w:left="3216" w:hanging="219"/>
      </w:pPr>
      <w:rPr>
        <w:rFonts w:ascii="Symbol" w:hAnsi="Symbol" w:cs="Symbol" w:hint="default"/>
        <w:lang w:val="lt-LT" w:eastAsia="en-US" w:bidi="ar-SA"/>
      </w:rPr>
    </w:lvl>
    <w:lvl w:ilvl="8">
      <w:start w:val="0"/>
      <w:numFmt w:val="bullet"/>
      <w:lvlText w:val=""/>
      <w:lvlJc w:val="left"/>
      <w:pPr>
        <w:tabs>
          <w:tab w:val="num" w:pos="0"/>
        </w:tabs>
        <w:ind w:left="3661" w:hanging="219"/>
      </w:pPr>
      <w:rPr>
        <w:rFonts w:ascii="Symbol" w:hAnsi="Symbol" w:cs="Symbol" w:hint="default"/>
        <w:lang w:val="lt-LT" w:eastAsia="en-US" w:bidi="ar-SA"/>
      </w:rPr>
    </w:lvl>
  </w:abstractNum>
  <w:abstractNum w:abstractNumId="2">
    <w:lvl w:ilvl="0">
      <w:start w:val="1"/>
      <w:numFmt w:val="decimal"/>
      <w:lvlText w:val="%1."/>
      <w:lvlJc w:val="left"/>
      <w:pPr>
        <w:tabs>
          <w:tab w:val="num" w:pos="0"/>
        </w:tabs>
        <w:ind w:left="596" w:hanging="360"/>
      </w:pPr>
      <w:rPr>
        <w:sz w:val="22"/>
        <w:i/>
        <w:szCs w:val="22"/>
        <w:w w:val="100"/>
        <w:rFonts w:ascii="Times New Roman" w:hAnsi="Times New Roman" w:eastAsia="Times New Roman" w:cs="Times New Roman"/>
        <w:lang w:val="lt-LT" w:eastAsia="en-US" w:bidi="ar-SA"/>
      </w:rPr>
    </w:lvl>
    <w:lvl w:ilvl="1">
      <w:start w:val="0"/>
      <w:numFmt w:val="bullet"/>
      <w:lvlText w:val=""/>
      <w:lvlJc w:val="left"/>
      <w:pPr>
        <w:tabs>
          <w:tab w:val="num" w:pos="0"/>
        </w:tabs>
        <w:ind w:left="995" w:hanging="360"/>
      </w:pPr>
      <w:rPr>
        <w:rFonts w:ascii="Symbol" w:hAnsi="Symbol" w:cs="Symbol" w:hint="default"/>
        <w:lang w:val="lt-LT" w:eastAsia="en-US" w:bidi="ar-SA"/>
      </w:rPr>
    </w:lvl>
    <w:lvl w:ilvl="2">
      <w:start w:val="0"/>
      <w:numFmt w:val="bullet"/>
      <w:lvlText w:val=""/>
      <w:lvlJc w:val="left"/>
      <w:pPr>
        <w:tabs>
          <w:tab w:val="num" w:pos="0"/>
        </w:tabs>
        <w:ind w:left="1391" w:hanging="360"/>
      </w:pPr>
      <w:rPr>
        <w:rFonts w:ascii="Symbol" w:hAnsi="Symbol" w:cs="Symbol" w:hint="default"/>
        <w:lang w:val="lt-LT" w:eastAsia="en-US" w:bidi="ar-SA"/>
      </w:rPr>
    </w:lvl>
    <w:lvl w:ilvl="3">
      <w:start w:val="0"/>
      <w:numFmt w:val="bullet"/>
      <w:lvlText w:val=""/>
      <w:lvlJc w:val="left"/>
      <w:pPr>
        <w:tabs>
          <w:tab w:val="num" w:pos="0"/>
        </w:tabs>
        <w:ind w:left="1787" w:hanging="360"/>
      </w:pPr>
      <w:rPr>
        <w:rFonts w:ascii="Symbol" w:hAnsi="Symbol" w:cs="Symbol" w:hint="default"/>
        <w:lang w:val="lt-LT" w:eastAsia="en-US" w:bidi="ar-SA"/>
      </w:rPr>
    </w:lvl>
    <w:lvl w:ilvl="4">
      <w:start w:val="0"/>
      <w:numFmt w:val="bullet"/>
      <w:lvlText w:val=""/>
      <w:lvlJc w:val="left"/>
      <w:pPr>
        <w:tabs>
          <w:tab w:val="num" w:pos="0"/>
        </w:tabs>
        <w:ind w:left="2182" w:hanging="360"/>
      </w:pPr>
      <w:rPr>
        <w:rFonts w:ascii="Symbol" w:hAnsi="Symbol" w:cs="Symbol" w:hint="default"/>
        <w:lang w:val="lt-LT" w:eastAsia="en-US" w:bidi="ar-SA"/>
      </w:rPr>
    </w:lvl>
    <w:lvl w:ilvl="5">
      <w:start w:val="0"/>
      <w:numFmt w:val="bullet"/>
      <w:lvlText w:val=""/>
      <w:lvlJc w:val="left"/>
      <w:pPr>
        <w:tabs>
          <w:tab w:val="num" w:pos="0"/>
        </w:tabs>
        <w:ind w:left="2578" w:hanging="360"/>
      </w:pPr>
      <w:rPr>
        <w:rFonts w:ascii="Symbol" w:hAnsi="Symbol" w:cs="Symbol" w:hint="default"/>
        <w:lang w:val="lt-LT" w:eastAsia="en-US" w:bidi="ar-SA"/>
      </w:rPr>
    </w:lvl>
    <w:lvl w:ilvl="6">
      <w:start w:val="0"/>
      <w:numFmt w:val="bullet"/>
      <w:lvlText w:val=""/>
      <w:lvlJc w:val="left"/>
      <w:pPr>
        <w:tabs>
          <w:tab w:val="num" w:pos="0"/>
        </w:tabs>
        <w:ind w:left="2974" w:hanging="360"/>
      </w:pPr>
      <w:rPr>
        <w:rFonts w:ascii="Symbol" w:hAnsi="Symbol" w:cs="Symbol" w:hint="default"/>
        <w:lang w:val="lt-LT" w:eastAsia="en-US" w:bidi="ar-SA"/>
      </w:rPr>
    </w:lvl>
    <w:lvl w:ilvl="7">
      <w:start w:val="0"/>
      <w:numFmt w:val="bullet"/>
      <w:lvlText w:val=""/>
      <w:lvlJc w:val="left"/>
      <w:pPr>
        <w:tabs>
          <w:tab w:val="num" w:pos="0"/>
        </w:tabs>
        <w:ind w:left="3369" w:hanging="360"/>
      </w:pPr>
      <w:rPr>
        <w:rFonts w:ascii="Symbol" w:hAnsi="Symbol" w:cs="Symbol" w:hint="default"/>
        <w:lang w:val="lt-LT" w:eastAsia="en-US" w:bidi="ar-SA"/>
      </w:rPr>
    </w:lvl>
    <w:lvl w:ilvl="8">
      <w:start w:val="0"/>
      <w:numFmt w:val="bullet"/>
      <w:lvlText w:val=""/>
      <w:lvlJc w:val="left"/>
      <w:pPr>
        <w:tabs>
          <w:tab w:val="num" w:pos="0"/>
        </w:tabs>
        <w:ind w:left="3765" w:hanging="360"/>
      </w:pPr>
      <w:rPr>
        <w:rFonts w:ascii="Symbol" w:hAnsi="Symbol" w:cs="Symbol" w:hint="default"/>
        <w:lang w:val="lt-LT" w:eastAsia="en-US" w:bidi="ar-SA"/>
      </w:rPr>
    </w:lvl>
  </w:abstractNum>
  <w:abstractNum w:abstractNumId="3">
    <w:lvl w:ilvl="0">
      <w:start w:val="1"/>
      <w:numFmt w:val="decimal"/>
      <w:lvlText w:val="%1."/>
      <w:lvlJc w:val="left"/>
      <w:pPr>
        <w:tabs>
          <w:tab w:val="num" w:pos="0"/>
        </w:tabs>
        <w:ind w:left="316" w:hanging="221"/>
      </w:pPr>
      <w:rPr>
        <w:sz w:val="22"/>
        <w:i/>
        <w:szCs w:val="22"/>
        <w:w w:val="100"/>
        <w:rFonts w:ascii="Times New Roman" w:hAnsi="Times New Roman" w:eastAsia="Times New Roman" w:cs="Times New Roman"/>
        <w:lang w:val="lt-LT" w:eastAsia="en-US" w:bidi="ar-SA"/>
      </w:rPr>
    </w:lvl>
    <w:lvl w:ilvl="1">
      <w:start w:val="0"/>
      <w:numFmt w:val="bullet"/>
      <w:lvlText w:val=""/>
      <w:lvlJc w:val="left"/>
      <w:pPr>
        <w:tabs>
          <w:tab w:val="num" w:pos="0"/>
        </w:tabs>
        <w:ind w:left="743" w:hanging="221"/>
      </w:pPr>
      <w:rPr>
        <w:rFonts w:ascii="Symbol" w:hAnsi="Symbol" w:cs="Symbol" w:hint="default"/>
        <w:lang w:val="lt-LT" w:eastAsia="en-US" w:bidi="ar-SA"/>
      </w:rPr>
    </w:lvl>
    <w:lvl w:ilvl="2">
      <w:start w:val="0"/>
      <w:numFmt w:val="bullet"/>
      <w:lvlText w:val=""/>
      <w:lvlJc w:val="left"/>
      <w:pPr>
        <w:tabs>
          <w:tab w:val="num" w:pos="0"/>
        </w:tabs>
        <w:ind w:left="1167" w:hanging="221"/>
      </w:pPr>
      <w:rPr>
        <w:rFonts w:ascii="Symbol" w:hAnsi="Symbol" w:cs="Symbol" w:hint="default"/>
        <w:lang w:val="lt-LT" w:eastAsia="en-US" w:bidi="ar-SA"/>
      </w:rPr>
    </w:lvl>
    <w:lvl w:ilvl="3">
      <w:start w:val="0"/>
      <w:numFmt w:val="bullet"/>
      <w:lvlText w:val=""/>
      <w:lvlJc w:val="left"/>
      <w:pPr>
        <w:tabs>
          <w:tab w:val="num" w:pos="0"/>
        </w:tabs>
        <w:ind w:left="1591" w:hanging="221"/>
      </w:pPr>
      <w:rPr>
        <w:rFonts w:ascii="Symbol" w:hAnsi="Symbol" w:cs="Symbol" w:hint="default"/>
        <w:lang w:val="lt-LT" w:eastAsia="en-US" w:bidi="ar-SA"/>
      </w:rPr>
    </w:lvl>
    <w:lvl w:ilvl="4">
      <w:start w:val="0"/>
      <w:numFmt w:val="bullet"/>
      <w:lvlText w:val=""/>
      <w:lvlJc w:val="left"/>
      <w:pPr>
        <w:tabs>
          <w:tab w:val="num" w:pos="0"/>
        </w:tabs>
        <w:ind w:left="2014" w:hanging="221"/>
      </w:pPr>
      <w:rPr>
        <w:rFonts w:ascii="Symbol" w:hAnsi="Symbol" w:cs="Symbol" w:hint="default"/>
        <w:lang w:val="lt-LT" w:eastAsia="en-US" w:bidi="ar-SA"/>
      </w:rPr>
    </w:lvl>
    <w:lvl w:ilvl="5">
      <w:start w:val="0"/>
      <w:numFmt w:val="bullet"/>
      <w:lvlText w:val=""/>
      <w:lvlJc w:val="left"/>
      <w:pPr>
        <w:tabs>
          <w:tab w:val="num" w:pos="0"/>
        </w:tabs>
        <w:ind w:left="2438" w:hanging="221"/>
      </w:pPr>
      <w:rPr>
        <w:rFonts w:ascii="Symbol" w:hAnsi="Symbol" w:cs="Symbol" w:hint="default"/>
        <w:lang w:val="lt-LT" w:eastAsia="en-US" w:bidi="ar-SA"/>
      </w:rPr>
    </w:lvl>
    <w:lvl w:ilvl="6">
      <w:start w:val="0"/>
      <w:numFmt w:val="bullet"/>
      <w:lvlText w:val=""/>
      <w:lvlJc w:val="left"/>
      <w:pPr>
        <w:tabs>
          <w:tab w:val="num" w:pos="0"/>
        </w:tabs>
        <w:ind w:left="2862" w:hanging="221"/>
      </w:pPr>
      <w:rPr>
        <w:rFonts w:ascii="Symbol" w:hAnsi="Symbol" w:cs="Symbol" w:hint="default"/>
        <w:lang w:val="lt-LT" w:eastAsia="en-US" w:bidi="ar-SA"/>
      </w:rPr>
    </w:lvl>
    <w:lvl w:ilvl="7">
      <w:start w:val="0"/>
      <w:numFmt w:val="bullet"/>
      <w:lvlText w:val=""/>
      <w:lvlJc w:val="left"/>
      <w:pPr>
        <w:tabs>
          <w:tab w:val="num" w:pos="0"/>
        </w:tabs>
        <w:ind w:left="3285" w:hanging="221"/>
      </w:pPr>
      <w:rPr>
        <w:rFonts w:ascii="Symbol" w:hAnsi="Symbol" w:cs="Symbol" w:hint="default"/>
        <w:lang w:val="lt-LT" w:eastAsia="en-US" w:bidi="ar-SA"/>
      </w:rPr>
    </w:lvl>
    <w:lvl w:ilvl="8">
      <w:start w:val="0"/>
      <w:numFmt w:val="bullet"/>
      <w:lvlText w:val=""/>
      <w:lvlJc w:val="left"/>
      <w:pPr>
        <w:tabs>
          <w:tab w:val="num" w:pos="0"/>
        </w:tabs>
        <w:ind w:left="3709" w:hanging="221"/>
      </w:pPr>
      <w:rPr>
        <w:rFonts w:ascii="Symbol" w:hAnsi="Symbol" w:cs="Symbol" w:hint="default"/>
        <w:lang w:val="lt-LT" w:eastAsia="en-US" w:bidi="ar-SA"/>
      </w:rPr>
    </w:lvl>
  </w:abstractNum>
  <w:abstractNum w:abstractNumId="4">
    <w:lvl w:ilvl="0">
      <w:start w:val="1"/>
      <w:numFmt w:val="decimal"/>
      <w:lvlText w:val="%1)"/>
      <w:lvlJc w:val="left"/>
      <w:pPr>
        <w:tabs>
          <w:tab w:val="num" w:pos="0"/>
        </w:tabs>
        <w:ind w:left="95" w:hanging="240"/>
      </w:pPr>
      <w:rPr>
        <w:sz w:val="22"/>
        <w:i/>
        <w:b/>
        <w:szCs w:val="22"/>
        <w:bCs/>
        <w:w w:val="100"/>
        <w:rFonts w:ascii="Times New Roman" w:hAnsi="Times New Roman" w:eastAsia="Times New Roman" w:cs="Times New Roman"/>
        <w:lang w:val="lt-LT" w:eastAsia="en-US" w:bidi="ar-SA"/>
      </w:rPr>
    </w:lvl>
    <w:lvl w:ilvl="1">
      <w:start w:val="0"/>
      <w:numFmt w:val="bullet"/>
      <w:lvlText w:val=""/>
      <w:lvlJc w:val="left"/>
      <w:pPr>
        <w:tabs>
          <w:tab w:val="num" w:pos="0"/>
        </w:tabs>
        <w:ind w:left="545" w:hanging="240"/>
      </w:pPr>
      <w:rPr>
        <w:rFonts w:ascii="Symbol" w:hAnsi="Symbol" w:cs="Symbol" w:hint="default"/>
        <w:lang w:val="lt-LT" w:eastAsia="en-US" w:bidi="ar-SA"/>
      </w:rPr>
    </w:lvl>
    <w:lvl w:ilvl="2">
      <w:start w:val="0"/>
      <w:numFmt w:val="bullet"/>
      <w:lvlText w:val=""/>
      <w:lvlJc w:val="left"/>
      <w:pPr>
        <w:tabs>
          <w:tab w:val="num" w:pos="0"/>
        </w:tabs>
        <w:ind w:left="990" w:hanging="240"/>
      </w:pPr>
      <w:rPr>
        <w:rFonts w:ascii="Symbol" w:hAnsi="Symbol" w:cs="Symbol" w:hint="default"/>
        <w:lang w:val="lt-LT" w:eastAsia="en-US" w:bidi="ar-SA"/>
      </w:rPr>
    </w:lvl>
    <w:lvl w:ilvl="3">
      <w:start w:val="0"/>
      <w:numFmt w:val="bullet"/>
      <w:lvlText w:val=""/>
      <w:lvlJc w:val="left"/>
      <w:pPr>
        <w:tabs>
          <w:tab w:val="num" w:pos="0"/>
        </w:tabs>
        <w:ind w:left="1435" w:hanging="240"/>
      </w:pPr>
      <w:rPr>
        <w:rFonts w:ascii="Symbol" w:hAnsi="Symbol" w:cs="Symbol" w:hint="default"/>
        <w:lang w:val="lt-LT" w:eastAsia="en-US" w:bidi="ar-SA"/>
      </w:rPr>
    </w:lvl>
    <w:lvl w:ilvl="4">
      <w:start w:val="0"/>
      <w:numFmt w:val="bullet"/>
      <w:lvlText w:val=""/>
      <w:lvlJc w:val="left"/>
      <w:pPr>
        <w:tabs>
          <w:tab w:val="num" w:pos="0"/>
        </w:tabs>
        <w:ind w:left="1880" w:hanging="240"/>
      </w:pPr>
      <w:rPr>
        <w:rFonts w:ascii="Symbol" w:hAnsi="Symbol" w:cs="Symbol" w:hint="default"/>
        <w:lang w:val="lt-LT" w:eastAsia="en-US" w:bidi="ar-SA"/>
      </w:rPr>
    </w:lvl>
    <w:lvl w:ilvl="5">
      <w:start w:val="0"/>
      <w:numFmt w:val="bullet"/>
      <w:lvlText w:val=""/>
      <w:lvlJc w:val="left"/>
      <w:pPr>
        <w:tabs>
          <w:tab w:val="num" w:pos="0"/>
        </w:tabs>
        <w:ind w:left="2326" w:hanging="240"/>
      </w:pPr>
      <w:rPr>
        <w:rFonts w:ascii="Symbol" w:hAnsi="Symbol" w:cs="Symbol" w:hint="default"/>
        <w:lang w:val="lt-LT" w:eastAsia="en-US" w:bidi="ar-SA"/>
      </w:rPr>
    </w:lvl>
    <w:lvl w:ilvl="6">
      <w:start w:val="0"/>
      <w:numFmt w:val="bullet"/>
      <w:lvlText w:val=""/>
      <w:lvlJc w:val="left"/>
      <w:pPr>
        <w:tabs>
          <w:tab w:val="num" w:pos="0"/>
        </w:tabs>
        <w:ind w:left="2771" w:hanging="240"/>
      </w:pPr>
      <w:rPr>
        <w:rFonts w:ascii="Symbol" w:hAnsi="Symbol" w:cs="Symbol" w:hint="default"/>
        <w:lang w:val="lt-LT" w:eastAsia="en-US" w:bidi="ar-SA"/>
      </w:rPr>
    </w:lvl>
    <w:lvl w:ilvl="7">
      <w:start w:val="0"/>
      <w:numFmt w:val="bullet"/>
      <w:lvlText w:val=""/>
      <w:lvlJc w:val="left"/>
      <w:pPr>
        <w:tabs>
          <w:tab w:val="num" w:pos="0"/>
        </w:tabs>
        <w:ind w:left="3216" w:hanging="240"/>
      </w:pPr>
      <w:rPr>
        <w:rFonts w:ascii="Symbol" w:hAnsi="Symbol" w:cs="Symbol" w:hint="default"/>
        <w:lang w:val="lt-LT" w:eastAsia="en-US" w:bidi="ar-SA"/>
      </w:rPr>
    </w:lvl>
    <w:lvl w:ilvl="8">
      <w:start w:val="0"/>
      <w:numFmt w:val="bullet"/>
      <w:lvlText w:val=""/>
      <w:lvlJc w:val="left"/>
      <w:pPr>
        <w:tabs>
          <w:tab w:val="num" w:pos="0"/>
        </w:tabs>
        <w:ind w:left="3661" w:hanging="240"/>
      </w:pPr>
      <w:rPr>
        <w:rFonts w:ascii="Symbol" w:hAnsi="Symbol" w:cs="Symbol" w:hint="default"/>
        <w:lang w:val="lt-LT" w:eastAsia="en-US" w:bidi="ar-SA"/>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lt-LT" w:eastAsia="en-US" w:bidi="ar-SA"/>
    </w:rPr>
  </w:style>
  <w:style w:type="paragraph" w:styleId="Ttulo1">
    <w:name w:val="Heading 1"/>
    <w:basedOn w:val="Normal"/>
    <w:uiPriority w:val="9"/>
    <w:qFormat/>
    <w:pPr>
      <w:spacing w:before="221" w:after="0"/>
      <w:ind w:left="122" w:hanging="0"/>
      <w:outlineLvl w:val="0"/>
    </w:pPr>
    <w:rPr>
      <w:b/>
      <w:bCs/>
      <w:i/>
      <w:sz w:val="40"/>
      <w:szCs w:val="40"/>
    </w:rPr>
  </w:style>
  <w:style w:type="paragraph" w:styleId="Ttulo2">
    <w:name w:val="Heading 2"/>
    <w:basedOn w:val="Normal"/>
    <w:uiPriority w:val="9"/>
    <w:unhideWhenUsed/>
    <w:qFormat/>
    <w:pPr>
      <w:spacing w:before="85" w:after="0"/>
      <w:ind w:left="122" w:hanging="0"/>
      <w:outlineLvl w:val="1"/>
    </w:pPr>
    <w:rPr>
      <w:b/>
      <w:bCs/>
      <w:i/>
      <w:sz w:val="32"/>
      <w:szCs w:val="32"/>
    </w:rPr>
  </w:style>
  <w:style w:type="character" w:styleId="DefaultParagraphFont" w:default="1">
    <w:name w:val="Default Paragraph Font"/>
    <w:uiPriority w:val="1"/>
    <w:semiHidden/>
    <w:unhideWhenUsed/>
    <w:qFormat/>
    <w:rPr/>
  </w:style>
  <w:style w:type="character" w:styleId="EnlacedeInternet" w:customStyle="1">
    <w:name w:val="Enlace de Internet"/>
    <w:rPr>
      <w:color w:val="000080"/>
      <w:u w:val="single"/>
    </w:rPr>
  </w:style>
  <w:style w:type="character" w:styleId="Destaquemayor" w:customStyle="1">
    <w:name w:val="Destaque mayor"/>
    <w:qFormat/>
    <w:rPr>
      <w:b/>
      <w:bCs/>
    </w:rPr>
  </w:style>
  <w:style w:type="character" w:styleId="Destacado" w:customStyle="1">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rPr>
      <w:b/>
      <w:bCs/>
      <w:i/>
      <w:sz w:val="28"/>
      <w:szCs w:val="28"/>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konsulinis.ua@urm.lt" TargetMode="External"/><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mailto:konsulinis.ua@urm.lt" TargetMode="External"/><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image" Target="media/image1.jpeg"/><Relationship Id="rId12" Type="http://schemas.openxmlformats.org/officeDocument/2006/relationships/image" Target="media/image8.png"/><Relationship Id="rId13" Type="http://schemas.openxmlformats.org/officeDocument/2006/relationships/hyperlink" Target="mailto:perkelimas@rppc.lt" TargetMode="External"/><Relationship Id="rId14" Type="http://schemas.openxmlformats.org/officeDocument/2006/relationships/hyperlink" Target="http://www.rppc.lt/"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3.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1900</TotalTime>
  <Application>LibreOffice/7.3.0.3$Windows_X86_64 LibreOffice_project/0f246aa12d0eee4a0f7adcefbf7c878fc2238db3</Application>
  <AppVersion>15.0000</AppVersion>
  <Pages>11</Pages>
  <Words>2948</Words>
  <Characters>15386</Characters>
  <CharactersWithSpaces>18138</CharactersWithSpaces>
  <Paragraphs>256</Paragraphs>
  <Company>RPPC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2022-06-20T11:39:00Z</dcterms:created>
  <dc:creator>Aivaras S</dc:creator>
  <dc:description/>
  <dc:language>es-ES</dc:language>
  <cp:lastModifiedBy/>
  <dcterms:modified xsi:type="dcterms:W3CDTF">2022-07-05T10:24:53Z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2021“</vt:lpwstr>
  </property>
  <property fmtid="{D5CDD505-2E9C-101B-9397-08002B2CF9AE}" pid="4" name="LastSaved">
    <vt:filetime>2022-06-20T00:00:00Z</vt:filetime>
  </property>
</Properties>
</file>